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840" w:type="dxa"/>
        <w:jc w:val="center"/>
        <w:tblCellSpacing w:w="0" w:type="dxa"/>
        <w:tblLayout w:type="fixed"/>
        <w:tblCellMar>
          <w:top w:w="0" w:type="dxa"/>
          <w:left w:w="0" w:type="dxa"/>
          <w:bottom w:w="0" w:type="dxa"/>
          <w:right w:w="0" w:type="dxa"/>
        </w:tblCellMar>
      </w:tblPr>
      <w:tblGrid>
        <w:gridCol w:w="9840"/>
      </w:tblGrid>
      <w:tr w14:paraId="4E657EE2">
        <w:tblPrEx>
          <w:tblCellMar>
            <w:top w:w="0" w:type="dxa"/>
            <w:left w:w="0" w:type="dxa"/>
            <w:bottom w:w="0" w:type="dxa"/>
            <w:right w:w="0" w:type="dxa"/>
          </w:tblCellMar>
        </w:tblPrEx>
        <w:trPr>
          <w:trHeight w:val="2436" w:hRule="atLeast"/>
          <w:tblCellSpacing w:w="0" w:type="dxa"/>
          <w:jc w:val="center"/>
        </w:trPr>
        <w:tc>
          <w:tcPr>
            <w:tcW w:w="9840" w:type="dxa"/>
            <w:vAlign w:val="center"/>
          </w:tcPr>
          <w:p w14:paraId="0C691D45">
            <w:pPr>
              <w:widowControl/>
              <w:jc w:val="center"/>
              <w:rPr>
                <w:rFonts w:ascii="宋体" w:hAnsi="宋体" w:cs="宋体"/>
                <w:b/>
                <w:bCs/>
                <w:color w:val="FF0000"/>
                <w:kern w:val="0"/>
                <w:sz w:val="84"/>
              </w:rPr>
            </w:pPr>
            <w:r>
              <w:rPr>
                <w:rFonts w:ascii="宋体" w:hAnsi="宋体" w:cs="宋体"/>
                <w:b/>
                <w:bCs/>
                <w:color w:val="FF0000"/>
                <w:kern w:val="0"/>
                <w:sz w:val="84"/>
              </w:rPr>
              <w:drawing>
                <wp:inline distT="0" distB="0" distL="114300" distR="114300">
                  <wp:extent cx="5273675" cy="720090"/>
                  <wp:effectExtent l="0" t="0" r="14605" b="11430"/>
                  <wp:docPr id="1" name="图片 1" descr="建筑大学文头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建筑大学文头2-02"/>
                          <pic:cNvPicPr>
                            <a:picLocks noChangeAspect="1"/>
                          </pic:cNvPicPr>
                        </pic:nvPicPr>
                        <pic:blipFill>
                          <a:blip r:embed="rId5"/>
                          <a:stretch>
                            <a:fillRect/>
                          </a:stretch>
                        </pic:blipFill>
                        <pic:spPr>
                          <a:xfrm>
                            <a:off x="0" y="0"/>
                            <a:ext cx="5273675" cy="720090"/>
                          </a:xfrm>
                          <a:prstGeom prst="rect">
                            <a:avLst/>
                          </a:prstGeom>
                          <a:noFill/>
                          <a:ln>
                            <a:noFill/>
                          </a:ln>
                        </pic:spPr>
                      </pic:pic>
                    </a:graphicData>
                  </a:graphic>
                </wp:inline>
              </w:drawing>
            </w:r>
          </w:p>
          <w:p w14:paraId="3794A12C">
            <w:pPr>
              <w:widowControl/>
              <w:jc w:val="center"/>
              <w:rPr>
                <w:rFonts w:ascii="仿宋_GB2312"/>
                <w:szCs w:val="21"/>
              </w:rPr>
            </w:pPr>
            <w:bookmarkStart w:id="0" w:name="文件编号"/>
          </w:p>
          <w:bookmarkEnd w:id="0"/>
          <w:p w14:paraId="5BF7D9A5">
            <w:pPr>
              <w:widowControl/>
              <w:jc w:val="center"/>
              <w:rPr>
                <w:rFonts w:hint="eastAsia" w:ascii="宋体" w:hAnsi="宋体" w:eastAsia="仿宋_GB2312" w:cs="宋体"/>
                <w:kern w:val="0"/>
                <w:sz w:val="18"/>
                <w:szCs w:val="18"/>
                <w:lang w:eastAsia="zh-CN"/>
              </w:rPr>
            </w:pPr>
            <w:bookmarkStart w:id="1" w:name="PO_FILE_NO"/>
            <w:r>
              <w:rPr>
                <w:rFonts w:hint="eastAsia" w:ascii="仿宋_GB2312"/>
                <w:szCs w:val="32"/>
                <w:lang w:eastAsia="zh-CN"/>
              </w:rPr>
              <w:t>校字〔2025〕27号</w:t>
            </w:r>
            <w:bookmarkEnd w:id="1"/>
          </w:p>
        </w:tc>
      </w:tr>
      <w:tr w14:paraId="6A2B7FA6">
        <w:tblPrEx>
          <w:tblCellMar>
            <w:top w:w="0" w:type="dxa"/>
            <w:left w:w="0" w:type="dxa"/>
            <w:bottom w:w="0" w:type="dxa"/>
            <w:right w:w="0" w:type="dxa"/>
          </w:tblCellMar>
        </w:tblPrEx>
        <w:trPr>
          <w:trHeight w:val="406" w:hRule="atLeast"/>
          <w:tblCellSpacing w:w="0" w:type="dxa"/>
          <w:jc w:val="center"/>
        </w:trPr>
        <w:tc>
          <w:tcPr>
            <w:tcW w:w="9840" w:type="dxa"/>
            <w:vAlign w:val="center"/>
          </w:tcPr>
          <w:p w14:paraId="26C18C2E">
            <w:pPr>
              <w:widowControl/>
              <w:jc w:val="right"/>
              <w:rPr>
                <w:rFonts w:ascii="宋体" w:hAnsi="宋体" w:cs="宋体"/>
                <w:kern w:val="0"/>
                <w:sz w:val="18"/>
                <w:szCs w:val="18"/>
              </w:rPr>
            </w:pPr>
            <w:r>
              <w:rPr>
                <w:rFonts w:ascii="宋体" w:hAnsi="宋体" w:cs="宋体"/>
                <w:kern w:val="0"/>
                <w:sz w:val="18"/>
                <w:szCs w:val="18"/>
              </w:rPr>
              <w:pict>
                <v:rect id="_x0000_i1025" o:spt="1" style="height:1.5pt;width:0.05pt;" fillcolor="#FF0000" filled="t" stroked="f" coordsize="21600,21600" o:hr="t" o:hrstd="t" o:hrnoshade="t" o:hralign="center">
                  <v:path/>
                  <v:fill on="t" focussize="0,0"/>
                  <v:stroke on="f"/>
                  <v:imagedata o:title=""/>
                  <o:lock v:ext="edit"/>
                  <w10:wrap type="none"/>
                  <w10:anchorlock/>
                </v:rect>
              </w:pict>
            </w:r>
          </w:p>
        </w:tc>
      </w:tr>
    </w:tbl>
    <w:p w14:paraId="21CCF353">
      <w:pPr>
        <w:widowControl/>
        <w:shd w:val="clear" w:color="auto" w:fill="FFFFFF"/>
        <w:spacing w:line="560" w:lineRule="exact"/>
        <w:jc w:val="left"/>
        <w:rPr>
          <w:rFonts w:ascii="仿宋_GB2312" w:hAnsi="微软雅黑" w:cs="仿宋_GB2312"/>
          <w:kern w:val="0"/>
          <w:szCs w:val="32"/>
          <w:shd w:val="clear" w:color="auto" w:fill="FFFFFF"/>
          <w:lang w:bidi="ar"/>
        </w:rPr>
      </w:pPr>
    </w:p>
    <w:p w14:paraId="4E9F7F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仿宋_GB2312" w:cs="宋体"/>
          <w:b/>
          <w:bCs/>
          <w:sz w:val="44"/>
          <w:szCs w:val="44"/>
          <w:lang w:eastAsia="zh-CN"/>
        </w:rPr>
      </w:pPr>
      <w:bookmarkStart w:id="2" w:name="PO_TITLE"/>
      <w:r>
        <w:rPr>
          <w:rFonts w:hint="eastAsia" w:ascii="宋体" w:hAnsi="宋体" w:eastAsia="宋体" w:cs="宋体"/>
          <w:b/>
          <w:bCs/>
          <w:sz w:val="44"/>
          <w:szCs w:val="44"/>
          <w:lang w:eastAsia="zh-CN"/>
        </w:rPr>
        <w:t>关于印发《安徽建筑大学硕士研究生指导教师遴选与复审办法（修订）》的通知</w:t>
      </w:r>
      <w:bookmarkEnd w:id="2"/>
    </w:p>
    <w:p w14:paraId="6CF41A3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color w:val="auto"/>
          <w:sz w:val="44"/>
          <w:szCs w:val="44"/>
          <w:lang w:val="en-US" w:eastAsia="zh-CN"/>
        </w:rPr>
      </w:pPr>
      <w:bookmarkStart w:id="3" w:name="PO_Content"/>
    </w:p>
    <w:p w14:paraId="40B197D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r>
        <w:rPr>
          <w:rFonts w:hint="eastAsia" w:ascii="仿宋_GB2312" w:hAnsi="仿宋_GB2312" w:eastAsia="仿宋_GB2312" w:cs="仿宋_GB2312"/>
          <w:sz w:val="32"/>
          <w:szCs w:val="22"/>
          <w:lang w:val="en-US" w:eastAsia="zh-CN"/>
        </w:rPr>
        <w:t>校属各单位：</w:t>
      </w:r>
    </w:p>
    <w:p w14:paraId="0FF407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22"/>
          <w:lang w:val="en-US" w:eastAsia="zh-CN"/>
        </w:rPr>
      </w:pPr>
      <w:r>
        <w:rPr>
          <w:rFonts w:hint="eastAsia" w:ascii="仿宋_GB2312" w:hAnsi="仿宋_GB2312" w:eastAsia="仿宋_GB2312" w:cs="仿宋_GB2312"/>
          <w:sz w:val="32"/>
          <w:szCs w:val="22"/>
          <w:lang w:val="en-US" w:eastAsia="zh-CN"/>
        </w:rPr>
        <w:t>《安徽建筑大学硕士研究生指导教师遴选与复审办法（修订）》已经校长办公会议审议通过，现予印发，请遵照施行。</w:t>
      </w:r>
    </w:p>
    <w:p w14:paraId="2630BA4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p>
    <w:p w14:paraId="788AB0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p>
    <w:p w14:paraId="243B1D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32" w:rightChars="10" w:firstLine="4800" w:firstLineChars="15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安徽建筑大学</w:t>
      </w:r>
    </w:p>
    <w:p w14:paraId="5E126A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32" w:rightChars="10" w:firstLine="4480" w:firstLineChars="14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2025年4月22日</w:t>
      </w:r>
    </w:p>
    <w:p w14:paraId="47C38121">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仿宋_GB2312" w:hAnsi="仿宋_GB2312" w:eastAsia="仿宋_GB2312" w:cs="仿宋_GB2312"/>
          <w:sz w:val="32"/>
          <w:szCs w:val="22"/>
          <w:lang w:val="en-US" w:eastAsia="zh-CN"/>
        </w:rPr>
      </w:pPr>
    </w:p>
    <w:p w14:paraId="35DC7EE8">
      <w:pPr>
        <w:widowControl/>
        <w:adjustRightInd w:val="0"/>
        <w:spacing w:line="560" w:lineRule="exact"/>
        <w:jc w:val="both"/>
        <w:rPr>
          <w:rFonts w:hint="eastAsia" w:ascii="仿宋_GB2312" w:hAnsi="宋体" w:eastAsia="仿宋_GB2312" w:cs="宋体"/>
          <w:color w:val="000000"/>
          <w:kern w:val="0"/>
          <w:sz w:val="32"/>
          <w:szCs w:val="32"/>
        </w:rPr>
      </w:pPr>
    </w:p>
    <w:p w14:paraId="592D5906">
      <w:pPr>
        <w:widowControl/>
        <w:adjustRightInd w:val="0"/>
        <w:spacing w:line="560" w:lineRule="exact"/>
        <w:jc w:val="both"/>
        <w:rPr>
          <w:rFonts w:hint="eastAsia" w:ascii="仿宋_GB2312" w:hAnsi="宋体" w:eastAsia="仿宋_GB2312" w:cs="宋体"/>
          <w:color w:val="000000"/>
          <w:kern w:val="0"/>
          <w:sz w:val="32"/>
          <w:szCs w:val="32"/>
        </w:rPr>
      </w:pPr>
    </w:p>
    <w:p w14:paraId="1561CB18">
      <w:pPr>
        <w:widowControl/>
        <w:adjustRightInd w:val="0"/>
        <w:spacing w:line="560" w:lineRule="exact"/>
        <w:jc w:val="both"/>
        <w:rPr>
          <w:rFonts w:hint="eastAsia" w:ascii="仿宋_GB2312" w:hAnsi="宋体" w:eastAsia="仿宋_GB2312" w:cs="宋体"/>
          <w:color w:val="000000"/>
          <w:kern w:val="0"/>
          <w:sz w:val="32"/>
          <w:szCs w:val="32"/>
        </w:rPr>
      </w:pPr>
    </w:p>
    <w:p w14:paraId="55F2F02B">
      <w:pPr>
        <w:widowControl/>
        <w:adjustRightInd w:val="0"/>
        <w:spacing w:line="560" w:lineRule="exact"/>
        <w:jc w:val="both"/>
        <w:rPr>
          <w:rFonts w:hint="eastAsia" w:ascii="仿宋_GB2312" w:hAnsi="宋体" w:eastAsia="仿宋_GB2312" w:cs="宋体"/>
          <w:color w:val="000000"/>
          <w:kern w:val="0"/>
          <w:sz w:val="32"/>
          <w:szCs w:val="32"/>
        </w:rPr>
      </w:pPr>
    </w:p>
    <w:p w14:paraId="65EA6DBB">
      <w:pPr>
        <w:widowControl/>
        <w:adjustRightInd w:val="0"/>
        <w:spacing w:line="560" w:lineRule="exact"/>
        <w:jc w:val="both"/>
        <w:rPr>
          <w:rFonts w:hint="eastAsia" w:ascii="仿宋_GB2312" w:hAnsi="宋体" w:eastAsia="仿宋_GB2312" w:cs="宋体"/>
          <w:color w:val="000000"/>
          <w:kern w:val="0"/>
          <w:sz w:val="32"/>
          <w:szCs w:val="32"/>
        </w:rPr>
      </w:pPr>
    </w:p>
    <w:p w14:paraId="389F9970">
      <w:pPr>
        <w:widowControl/>
        <w:adjustRightInd w:val="0"/>
        <w:spacing w:line="560" w:lineRule="exact"/>
        <w:jc w:val="both"/>
        <w:rPr>
          <w:rFonts w:hint="eastAsia" w:ascii="仿宋_GB2312" w:hAnsi="宋体" w:eastAsia="仿宋_GB2312" w:cs="宋体"/>
          <w:color w:val="000000"/>
          <w:kern w:val="0"/>
          <w:sz w:val="32"/>
          <w:szCs w:val="32"/>
        </w:rPr>
      </w:pPr>
    </w:p>
    <w:p w14:paraId="623C5CC2">
      <w:pPr>
        <w:keepNext w:val="0"/>
        <w:keepLines w:val="0"/>
        <w:pageBreakBefore w:val="0"/>
        <w:widowControl/>
        <w:kinsoku/>
        <w:wordWrap/>
        <w:overflowPunct/>
        <w:topLinePunct w:val="0"/>
        <w:autoSpaceDN/>
        <w:bidi w:val="0"/>
        <w:adjustRightInd w:val="0"/>
        <w:spacing w:line="560" w:lineRule="exact"/>
        <w:jc w:val="center"/>
        <w:textAlignment w:val="auto"/>
        <w:rPr>
          <w:rFonts w:hint="eastAsia" w:ascii="宋体" w:hAnsi="宋体" w:eastAsia="宋体" w:cs="宋体"/>
          <w:b/>
          <w:bCs/>
          <w:color w:val="000000"/>
          <w:kern w:val="0"/>
          <w:sz w:val="44"/>
          <w:szCs w:val="44"/>
          <w:lang w:val="en-US" w:eastAsia="zh-CN"/>
        </w:rPr>
      </w:pPr>
      <w:bookmarkStart w:id="4" w:name="OLE_LINK4"/>
      <w:r>
        <w:rPr>
          <w:rFonts w:hint="eastAsia" w:ascii="宋体" w:hAnsi="宋体" w:eastAsia="宋体" w:cs="宋体"/>
          <w:b/>
          <w:bCs/>
          <w:color w:val="000000"/>
          <w:kern w:val="0"/>
          <w:sz w:val="44"/>
          <w:szCs w:val="44"/>
        </w:rPr>
        <w:t>安徽建筑大学硕士研究生指导教师遴选与复审办法</w:t>
      </w:r>
      <w:r>
        <w:rPr>
          <w:rFonts w:hint="eastAsia" w:ascii="宋体" w:hAnsi="宋体" w:eastAsia="宋体" w:cs="宋体"/>
          <w:b/>
          <w:bCs/>
          <w:color w:val="000000"/>
          <w:kern w:val="0"/>
          <w:sz w:val="44"/>
          <w:szCs w:val="44"/>
          <w:lang w:eastAsia="zh-CN"/>
        </w:rPr>
        <w:t>（</w:t>
      </w:r>
      <w:r>
        <w:rPr>
          <w:rFonts w:hint="eastAsia" w:ascii="宋体" w:hAnsi="宋体" w:eastAsia="宋体" w:cs="宋体"/>
          <w:b/>
          <w:bCs/>
          <w:color w:val="000000"/>
          <w:kern w:val="0"/>
          <w:sz w:val="44"/>
          <w:szCs w:val="44"/>
          <w:lang w:val="en-US" w:eastAsia="zh-CN"/>
        </w:rPr>
        <w:t>修订）</w:t>
      </w:r>
    </w:p>
    <w:bookmarkEnd w:id="4"/>
    <w:p w14:paraId="510553EA">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auto"/>
          <w:kern w:val="0"/>
          <w:sz w:val="32"/>
          <w:szCs w:val="32"/>
          <w:lang w:val="en-US" w:eastAsia="zh-CN"/>
        </w:rPr>
      </w:pPr>
    </w:p>
    <w:p w14:paraId="1FE3BE3C">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pPr>
      <w:r>
        <w:rPr>
          <w:rFonts w:hint="eastAsia" w:ascii="仿宋_GB2312" w:hAnsi="仿宋" w:eastAsia="仿宋_GB2312"/>
          <w:color w:val="auto"/>
          <w:kern w:val="0"/>
          <w:sz w:val="32"/>
          <w:szCs w:val="32"/>
          <w:lang w:val="en-US" w:eastAsia="zh-CN"/>
        </w:rPr>
        <w:t>为适应研究生教育改革发展的需要，进一步加强学校硕士研究生导师队伍建设，充分发挥指导教师在研究生培养中的主导作用，确保研究生培养质量，根据国务院学位委员会、教育部和安徽省政府有关文件规定，结合学校实际情况，特制定本办法。</w:t>
      </w:r>
    </w:p>
    <w:p w14:paraId="77D8922E">
      <w:pPr>
        <w:keepNext w:val="0"/>
        <w:keepLines w:val="0"/>
        <w:pageBreakBefore w:val="0"/>
        <w:widowControl/>
        <w:kinsoku/>
        <w:wordWrap/>
        <w:overflowPunct/>
        <w:topLinePunct w:val="0"/>
        <w:autoSpaceDE w:val="0"/>
        <w:autoSpaceDN/>
        <w:bidi w:val="0"/>
        <w:adjustRightInd w:val="0"/>
        <w:snapToGrid w:val="0"/>
        <w:spacing w:line="560" w:lineRule="exact"/>
        <w:ind w:left="633" w:hanging="630" w:hangingChars="197"/>
        <w:jc w:val="center"/>
        <w:textAlignment w:val="auto"/>
        <w:rPr>
          <w:rFonts w:hint="eastAsia" w:ascii="黑体" w:hAnsi="黑体" w:eastAsia="黑体" w:cs="黑体"/>
          <w:b w:val="0"/>
          <w:bCs w:val="0"/>
          <w:color w:val="FF0000"/>
          <w:kern w:val="0"/>
          <w:sz w:val="32"/>
          <w:szCs w:val="32"/>
          <w:lang w:val="en-US" w:eastAsia="zh-CN"/>
        </w:rPr>
      </w:pPr>
      <w:r>
        <w:rPr>
          <w:rFonts w:hint="eastAsia" w:ascii="黑体" w:hAnsi="黑体" w:eastAsia="黑体" w:cs="黑体"/>
          <w:b w:val="0"/>
          <w:bCs w:val="0"/>
          <w:color w:val="000000"/>
          <w:kern w:val="0"/>
          <w:sz w:val="32"/>
          <w:szCs w:val="32"/>
        </w:rPr>
        <w:t xml:space="preserve">第一章 </w:t>
      </w:r>
      <w:r>
        <w:rPr>
          <w:rFonts w:hint="eastAsia" w:ascii="黑体" w:hAnsi="黑体" w:eastAsia="黑体" w:cs="黑体"/>
          <w:b w:val="0"/>
          <w:bCs w:val="0"/>
          <w:color w:val="000000"/>
          <w:kern w:val="0"/>
          <w:sz w:val="32"/>
          <w:szCs w:val="32"/>
          <w:lang w:val="en-US" w:eastAsia="zh-CN"/>
        </w:rPr>
        <w:t>总则</w:t>
      </w:r>
    </w:p>
    <w:p w14:paraId="7E8AEA59">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default" w:ascii="仿宋_GB2312" w:hAnsi="仿宋" w:eastAsia="仿宋_GB2312"/>
          <w:color w:val="auto"/>
          <w:kern w:val="0"/>
          <w:sz w:val="32"/>
          <w:szCs w:val="32"/>
          <w:lang w:val="en-US" w:eastAsia="zh-CN"/>
        </w:rPr>
      </w:pPr>
      <w:r>
        <w:rPr>
          <w:rFonts w:hint="eastAsia" w:ascii="仿宋_GB2312" w:hAnsi="仿宋" w:eastAsia="仿宋_GB2312"/>
          <w:b/>
          <w:bCs/>
          <w:color w:val="auto"/>
          <w:kern w:val="0"/>
          <w:sz w:val="32"/>
          <w:szCs w:val="32"/>
          <w:lang w:val="en-US" w:eastAsia="zh-CN"/>
        </w:rPr>
        <w:t>第一条</w:t>
      </w:r>
      <w:r>
        <w:rPr>
          <w:rFonts w:hint="eastAsia" w:ascii="仿宋_GB2312" w:hAnsi="仿宋" w:eastAsia="仿宋_GB2312"/>
          <w:color w:val="auto"/>
          <w:kern w:val="0"/>
          <w:sz w:val="32"/>
          <w:szCs w:val="32"/>
          <w:lang w:val="en-US" w:eastAsia="zh-CN"/>
        </w:rPr>
        <w:t xml:space="preserve"> </w:t>
      </w:r>
      <w:r>
        <w:rPr>
          <w:rFonts w:hint="eastAsia" w:ascii="仿宋_GB2312" w:hAnsi="仿宋" w:eastAsia="仿宋_GB2312"/>
          <w:color w:val="auto"/>
          <w:kern w:val="0"/>
          <w:sz w:val="32"/>
          <w:szCs w:val="32"/>
        </w:rPr>
        <w:t>硕士研究生指导教师（以下简称硕士生导师）是硕士学位授权点为培养研究生而设置的工作岗位</w:t>
      </w:r>
      <w:r>
        <w:rPr>
          <w:rFonts w:hint="eastAsia" w:ascii="仿宋_GB2312" w:hAnsi="仿宋" w:eastAsia="仿宋_GB2312"/>
          <w:color w:val="auto"/>
          <w:kern w:val="0"/>
          <w:sz w:val="32"/>
          <w:szCs w:val="32"/>
          <w:lang w:eastAsia="zh-CN"/>
        </w:rPr>
        <w:t>。</w:t>
      </w:r>
      <w:r>
        <w:rPr>
          <w:rFonts w:hint="eastAsia" w:ascii="仿宋_GB2312" w:hAnsi="仿宋" w:eastAsia="仿宋_GB2312"/>
          <w:color w:val="auto"/>
          <w:kern w:val="0"/>
          <w:sz w:val="32"/>
          <w:szCs w:val="32"/>
          <w:lang w:val="en-US" w:eastAsia="zh-CN"/>
        </w:rPr>
        <w:t>硕士生导师的遴选与复审，应根据学位点建设和硕士研究生招生培养工作的需要，由学校统一组织实施。</w:t>
      </w:r>
    </w:p>
    <w:p w14:paraId="54F3B126">
      <w:pPr>
        <w:keepNext w:val="0"/>
        <w:keepLines w:val="0"/>
        <w:pageBreakBefore w:val="0"/>
        <w:kinsoku/>
        <w:wordWrap/>
        <w:overflowPunct/>
        <w:topLinePunct w:val="0"/>
        <w:autoSpaceDN/>
        <w:bidi w:val="0"/>
        <w:adjustRightInd w:val="0"/>
        <w:snapToGrid w:val="0"/>
        <w:spacing w:line="560" w:lineRule="exact"/>
        <w:ind w:firstLine="643" w:firstLineChars="200"/>
        <w:textAlignment w:val="auto"/>
        <w:rPr>
          <w:rFonts w:hint="eastAsia" w:ascii="仿宋_GB2312" w:hAnsi="宋体" w:eastAsia="仿宋_GB2312" w:cs="仿宋_GB2312"/>
          <w:bCs/>
          <w:color w:val="auto"/>
          <w:kern w:val="24"/>
          <w:sz w:val="32"/>
          <w:szCs w:val="32"/>
          <w:lang w:val="zh-TW" w:eastAsia="zh-TW"/>
        </w:rPr>
      </w:pPr>
      <w:r>
        <w:rPr>
          <w:rFonts w:hint="eastAsia" w:ascii="仿宋_GB2312" w:hAnsi="仿宋" w:eastAsia="仿宋_GB2312"/>
          <w:b/>
          <w:bCs/>
          <w:color w:val="auto"/>
          <w:kern w:val="0"/>
          <w:sz w:val="32"/>
          <w:szCs w:val="32"/>
          <w:lang w:val="en-US" w:eastAsia="zh-CN"/>
        </w:rPr>
        <w:t>第二条</w:t>
      </w:r>
      <w:r>
        <w:rPr>
          <w:rFonts w:hint="eastAsia" w:ascii="仿宋_GB2312" w:hAnsi="仿宋" w:eastAsia="仿宋_GB2312"/>
          <w:color w:val="auto"/>
          <w:kern w:val="0"/>
          <w:sz w:val="32"/>
          <w:szCs w:val="32"/>
          <w:lang w:val="en-US" w:eastAsia="zh-CN"/>
        </w:rPr>
        <w:t xml:space="preserve"> 硕士生导师</w:t>
      </w:r>
      <w:r>
        <w:rPr>
          <w:rFonts w:hint="eastAsia" w:ascii="仿宋_GB2312" w:hAnsi="宋体" w:eastAsia="仿宋_GB2312" w:cs="仿宋_GB2312"/>
          <w:bCs/>
          <w:color w:val="auto"/>
          <w:kern w:val="24"/>
          <w:sz w:val="32"/>
          <w:szCs w:val="32"/>
        </w:rPr>
        <w:t>按学位类型分为学术学位导师和专业学位导师；按聘用关系分为</w:t>
      </w:r>
      <w:r>
        <w:rPr>
          <w:rFonts w:hint="eastAsia" w:ascii="仿宋_GB2312" w:hAnsi="宋体" w:eastAsia="仿宋_GB2312" w:cs="仿宋_GB2312"/>
          <w:bCs/>
          <w:color w:val="auto"/>
          <w:kern w:val="24"/>
          <w:sz w:val="32"/>
          <w:szCs w:val="32"/>
          <w:lang w:val="zh-TW" w:eastAsia="zh-TW"/>
        </w:rPr>
        <w:t>校内导师、</w:t>
      </w:r>
      <w:r>
        <w:rPr>
          <w:rFonts w:hint="eastAsia" w:ascii="仿宋_GB2312" w:hAnsi="宋体" w:eastAsia="仿宋_GB2312" w:cs="仿宋_GB2312"/>
          <w:bCs/>
          <w:color w:val="auto"/>
          <w:kern w:val="24"/>
          <w:sz w:val="32"/>
          <w:szCs w:val="32"/>
          <w:lang w:val="en-US" w:eastAsia="zh-CN"/>
        </w:rPr>
        <w:t>校外</w:t>
      </w:r>
      <w:r>
        <w:rPr>
          <w:rFonts w:hint="eastAsia" w:ascii="仿宋_GB2312" w:hAnsi="宋体" w:eastAsia="仿宋_GB2312" w:cs="仿宋_GB2312"/>
          <w:bCs/>
          <w:color w:val="auto"/>
          <w:kern w:val="24"/>
          <w:sz w:val="32"/>
          <w:szCs w:val="32"/>
          <w:lang w:val="zh-TW" w:eastAsia="zh-TW"/>
        </w:rPr>
        <w:t>兼职导师和专业学位研究生校外导师三个类别。</w:t>
      </w:r>
    </w:p>
    <w:p w14:paraId="66C80C29">
      <w:pPr>
        <w:keepNext w:val="0"/>
        <w:keepLines w:val="0"/>
        <w:pageBreakBefore w:val="0"/>
        <w:kinsoku/>
        <w:wordWrap/>
        <w:overflowPunct/>
        <w:topLinePunct w:val="0"/>
        <w:autoSpaceDN/>
        <w:bidi w:val="0"/>
        <w:adjustRightInd w:val="0"/>
        <w:snapToGrid w:val="0"/>
        <w:spacing w:line="560" w:lineRule="exact"/>
        <w:ind w:firstLine="643" w:firstLineChars="200"/>
        <w:textAlignment w:val="auto"/>
        <w:rPr>
          <w:rFonts w:hint="eastAsia" w:ascii="仿宋_GB2312" w:hAnsi="仿宋" w:eastAsia="仿宋_GB2312"/>
          <w:color w:val="auto"/>
          <w:kern w:val="0"/>
          <w:sz w:val="32"/>
          <w:szCs w:val="32"/>
          <w:lang w:val="en-US" w:eastAsia="zh-CN"/>
        </w:rPr>
      </w:pPr>
      <w:r>
        <w:rPr>
          <w:rFonts w:hint="eastAsia" w:ascii="仿宋_GB2312" w:hAnsi="仿宋" w:eastAsia="仿宋_GB2312"/>
          <w:b/>
          <w:bCs/>
          <w:color w:val="auto"/>
          <w:kern w:val="0"/>
          <w:sz w:val="32"/>
          <w:szCs w:val="32"/>
          <w:lang w:val="en-US" w:eastAsia="zh-CN"/>
        </w:rPr>
        <w:t>第三条</w:t>
      </w:r>
      <w:r>
        <w:rPr>
          <w:rFonts w:hint="eastAsia" w:ascii="仿宋_GB2312" w:hAnsi="仿宋" w:eastAsia="仿宋_GB2312"/>
          <w:color w:val="auto"/>
          <w:kern w:val="0"/>
          <w:sz w:val="32"/>
          <w:szCs w:val="32"/>
          <w:lang w:val="en-US" w:eastAsia="zh-CN"/>
        </w:rPr>
        <w:t xml:space="preserve"> 专业学位硕士研究生实行“双导师”联合培养制度。以校内导师指导为主，聘请实践经验丰富的行业、企业专家担任校外导师。校内导师为专业学位硕士研究生第一导师，校外导师为专业学位硕士研究生第二导师。校外导师以指导专业实践环节为主，协助校内导师共同培养研究生。</w:t>
      </w:r>
    </w:p>
    <w:p w14:paraId="07588819">
      <w:pPr>
        <w:keepNext w:val="0"/>
        <w:keepLines w:val="0"/>
        <w:pageBreakBefore w:val="0"/>
        <w:kinsoku/>
        <w:wordWrap/>
        <w:overflowPunct/>
        <w:topLinePunct w:val="0"/>
        <w:autoSpaceDN/>
        <w:bidi w:val="0"/>
        <w:adjustRightInd w:val="0"/>
        <w:snapToGrid w:val="0"/>
        <w:spacing w:line="560" w:lineRule="exact"/>
        <w:ind w:firstLine="643" w:firstLineChars="200"/>
        <w:textAlignment w:val="auto"/>
        <w:rPr>
          <w:rFonts w:hint="default" w:ascii="仿宋_GB2312" w:hAnsi="仿宋" w:eastAsia="仿宋_GB2312"/>
          <w:color w:val="auto"/>
          <w:kern w:val="0"/>
          <w:sz w:val="32"/>
          <w:szCs w:val="32"/>
          <w:lang w:val="en-US" w:eastAsia="zh-CN"/>
        </w:rPr>
      </w:pPr>
      <w:r>
        <w:rPr>
          <w:rFonts w:hint="eastAsia" w:ascii="仿宋_GB2312" w:hAnsi="仿宋" w:eastAsia="仿宋_GB2312"/>
          <w:b/>
          <w:bCs/>
          <w:color w:val="auto"/>
          <w:kern w:val="0"/>
          <w:sz w:val="32"/>
          <w:szCs w:val="32"/>
          <w:lang w:val="en-US" w:eastAsia="zh-CN"/>
        </w:rPr>
        <w:t>第四条</w:t>
      </w:r>
      <w:r>
        <w:rPr>
          <w:rFonts w:hint="eastAsia" w:ascii="仿宋_GB2312" w:hAnsi="仿宋" w:eastAsia="仿宋_GB2312"/>
          <w:color w:val="auto"/>
          <w:kern w:val="0"/>
          <w:sz w:val="32"/>
          <w:szCs w:val="32"/>
          <w:lang w:val="en-US" w:eastAsia="zh-CN"/>
        </w:rPr>
        <w:t xml:space="preserve"> 硕士生导师的选聘坚持立德树人导向，坚持学术主导、分类遴选，加强对申请人师德师风考评，对有违反学术道德和师德师风的，实行一票否决。</w:t>
      </w:r>
    </w:p>
    <w:p w14:paraId="331A8D0F">
      <w:pPr>
        <w:keepNext w:val="0"/>
        <w:keepLines w:val="0"/>
        <w:pageBreakBefore w:val="0"/>
        <w:widowControl/>
        <w:kinsoku/>
        <w:wordWrap/>
        <w:overflowPunct/>
        <w:topLinePunct w:val="0"/>
        <w:autoSpaceDE w:val="0"/>
        <w:autoSpaceDN/>
        <w:bidi w:val="0"/>
        <w:adjustRightInd w:val="0"/>
        <w:snapToGrid w:val="0"/>
        <w:spacing w:line="560" w:lineRule="exact"/>
        <w:jc w:val="left"/>
        <w:textAlignment w:val="auto"/>
        <w:rPr>
          <w:rFonts w:hint="default" w:ascii="仿宋_GB2312" w:hAnsi="仿宋" w:eastAsia="仿宋_GB2312"/>
          <w:color w:val="000000"/>
          <w:kern w:val="0"/>
          <w:sz w:val="32"/>
          <w:szCs w:val="32"/>
          <w:lang w:val="en-US" w:eastAsia="zh-CN"/>
        </w:rPr>
      </w:pPr>
    </w:p>
    <w:p w14:paraId="11D43856">
      <w:pPr>
        <w:keepNext w:val="0"/>
        <w:keepLines w:val="0"/>
        <w:pageBreakBefore w:val="0"/>
        <w:widowControl/>
        <w:kinsoku/>
        <w:wordWrap/>
        <w:overflowPunct/>
        <w:topLinePunct w:val="0"/>
        <w:autoSpaceDE w:val="0"/>
        <w:autoSpaceDN/>
        <w:bidi w:val="0"/>
        <w:adjustRightInd w:val="0"/>
        <w:snapToGrid w:val="0"/>
        <w:spacing w:line="560" w:lineRule="exact"/>
        <w:ind w:left="633" w:hanging="630" w:hangingChars="197"/>
        <w:jc w:val="center"/>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w:t>
      </w:r>
      <w:r>
        <w:rPr>
          <w:rFonts w:hint="eastAsia" w:ascii="黑体" w:hAnsi="黑体" w:eastAsia="黑体" w:cs="黑体"/>
          <w:b w:val="0"/>
          <w:bCs w:val="0"/>
          <w:color w:val="000000"/>
          <w:kern w:val="0"/>
          <w:sz w:val="32"/>
          <w:szCs w:val="32"/>
          <w:lang w:val="en-US" w:eastAsia="zh-CN"/>
        </w:rPr>
        <w:t>二</w:t>
      </w:r>
      <w:r>
        <w:rPr>
          <w:rFonts w:hint="eastAsia" w:ascii="黑体" w:hAnsi="黑体" w:eastAsia="黑体" w:cs="黑体"/>
          <w:b w:val="0"/>
          <w:bCs w:val="0"/>
          <w:color w:val="000000"/>
          <w:kern w:val="0"/>
          <w:sz w:val="32"/>
          <w:szCs w:val="32"/>
        </w:rPr>
        <w:t>章 硕士生导师遴选条件</w:t>
      </w:r>
    </w:p>
    <w:p w14:paraId="61B852F0">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第五条</w:t>
      </w:r>
      <w:r>
        <w:rPr>
          <w:rFonts w:hint="eastAsia" w:ascii="仿宋_GB2312" w:hAnsi="仿宋" w:eastAsia="仿宋_GB2312"/>
          <w:color w:val="000000"/>
          <w:kern w:val="0"/>
          <w:sz w:val="32"/>
          <w:szCs w:val="32"/>
          <w:lang w:val="en-US" w:eastAsia="zh-CN"/>
        </w:rPr>
        <w:t xml:space="preserve"> 拥护党的领导，热爱研究生教育事业，熟悉国家和学校有关研究生学位与教育工作的政策法规和规章制度，治学严谨，作风正派，身体健康，有团结协作精神及良好的职业道德。</w:t>
      </w:r>
    </w:p>
    <w:p w14:paraId="43A6CEF5">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 xml:space="preserve"> </w:t>
      </w:r>
      <w:r>
        <w:rPr>
          <w:rFonts w:hint="eastAsia" w:ascii="仿宋_GB2312" w:hAnsi="仿宋" w:eastAsia="仿宋_GB2312"/>
          <w:b/>
          <w:bCs/>
          <w:color w:val="000000"/>
          <w:kern w:val="0"/>
          <w:sz w:val="32"/>
          <w:szCs w:val="32"/>
          <w:lang w:val="en-US" w:eastAsia="zh-CN"/>
        </w:rPr>
        <w:t>第六条</w:t>
      </w:r>
      <w:r>
        <w:rPr>
          <w:rFonts w:hint="eastAsia" w:ascii="仿宋_GB2312" w:hAnsi="仿宋" w:eastAsia="仿宋_GB2312"/>
          <w:color w:val="000000"/>
          <w:kern w:val="0"/>
          <w:sz w:val="32"/>
          <w:szCs w:val="32"/>
          <w:lang w:val="en-US" w:eastAsia="zh-CN"/>
        </w:rPr>
        <w:t xml:space="preserve"> 校内导师申请人应满足以下条件：</w:t>
      </w:r>
    </w:p>
    <w:p w14:paraId="254F1C9A">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（一）具有副高级及以上专业技术职务，年龄不超过57周岁，一般应具有硕士研究生及以上学历。</w:t>
      </w:r>
    </w:p>
    <w:p w14:paraId="48319234">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ascii="仿宋_GB2312" w:hAnsi="Times New Roman" w:eastAsia="仿宋_GB2312"/>
          <w:color w:val="000000"/>
          <w:kern w:val="0"/>
          <w:sz w:val="32"/>
          <w:szCs w:val="32"/>
        </w:rPr>
      </w:pPr>
      <w:r>
        <w:rPr>
          <w:rFonts w:hint="eastAsia" w:ascii="仿宋_GB2312" w:hAnsi="仿宋" w:eastAsia="仿宋_GB2312"/>
          <w:color w:val="000000"/>
          <w:kern w:val="0"/>
          <w:sz w:val="32"/>
          <w:szCs w:val="32"/>
          <w:lang w:val="en-US" w:eastAsia="zh-CN"/>
        </w:rPr>
        <w:t>（二）</w:t>
      </w:r>
      <w:r>
        <w:rPr>
          <w:rFonts w:hint="eastAsia" w:ascii="仿宋_GB2312" w:hAnsi="仿宋" w:eastAsia="仿宋_GB2312"/>
          <w:color w:val="000000"/>
          <w:kern w:val="0"/>
          <w:sz w:val="32"/>
          <w:szCs w:val="32"/>
        </w:rPr>
        <w:t>具有相对稳定的科学研究方向。近三年，有较充足的科研经费、必要的研究条件和科研协助人员，且满足下列条件之一：</w:t>
      </w:r>
    </w:p>
    <w:p w14:paraId="5ACA8830">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highlight w:val="none"/>
          <w:lang w:val="en-US" w:eastAsia="zh-CN"/>
        </w:rPr>
      </w:pPr>
      <w:r>
        <w:rPr>
          <w:rFonts w:hint="eastAsia" w:ascii="仿宋_GB2312" w:hAnsi="仿宋" w:eastAsia="仿宋_GB2312"/>
          <w:color w:val="000000"/>
          <w:kern w:val="0"/>
          <w:sz w:val="32"/>
          <w:szCs w:val="32"/>
          <w:highlight w:val="none"/>
          <w:lang w:val="en-US" w:eastAsia="zh-CN"/>
        </w:rPr>
        <w:t>1.需主持过四类及以上科学研究项目，或作为前三名成员参与过三类及以上科学研究项目；且上述项目须为近三年内立项（以项目立项批文时间为准）。</w:t>
      </w:r>
    </w:p>
    <w:p w14:paraId="4CD96520">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ascii="仿宋_GB2312" w:hAnsi="Times New Roman" w:eastAsia="仿宋_GB2312"/>
          <w:color w:val="000000"/>
          <w:kern w:val="0"/>
          <w:sz w:val="32"/>
          <w:szCs w:val="32"/>
        </w:rPr>
      </w:pPr>
      <w:r>
        <w:rPr>
          <w:rFonts w:hint="eastAsia" w:ascii="仿宋_GB2312" w:hAnsi="仿宋" w:eastAsia="仿宋_GB2312"/>
          <w:color w:val="000000"/>
          <w:kern w:val="0"/>
          <w:sz w:val="32"/>
          <w:szCs w:val="32"/>
          <w:lang w:val="en-US" w:eastAsia="zh-CN"/>
        </w:rPr>
        <w:t>2.</w:t>
      </w:r>
      <w:r>
        <w:rPr>
          <w:rFonts w:hint="eastAsia" w:ascii="仿宋_GB2312" w:hAnsi="仿宋" w:eastAsia="仿宋_GB2312"/>
          <w:color w:val="000000"/>
          <w:kern w:val="0"/>
          <w:sz w:val="32"/>
          <w:szCs w:val="32"/>
        </w:rPr>
        <w:t>主持科研项目到账经费达到</w:t>
      </w:r>
      <w:r>
        <w:rPr>
          <w:rFonts w:hint="eastAsia" w:ascii="仿宋_GB2312" w:hAnsi="Times New Roman" w:eastAsia="仿宋_GB2312"/>
          <w:color w:val="000000"/>
          <w:kern w:val="0"/>
          <w:sz w:val="32"/>
          <w:szCs w:val="32"/>
        </w:rPr>
        <w:t>10</w:t>
      </w:r>
      <w:r>
        <w:rPr>
          <w:rFonts w:hint="eastAsia" w:ascii="仿宋_GB2312" w:hAnsi="仿宋" w:eastAsia="仿宋_GB2312"/>
          <w:color w:val="000000"/>
          <w:kern w:val="0"/>
          <w:sz w:val="32"/>
          <w:szCs w:val="32"/>
        </w:rPr>
        <w:t>万元及以上（理工类）或</w:t>
      </w:r>
      <w:r>
        <w:rPr>
          <w:rFonts w:hint="eastAsia" w:ascii="仿宋_GB2312" w:hAnsi="Times New Roman" w:eastAsia="仿宋_GB2312"/>
          <w:color w:val="000000"/>
          <w:kern w:val="0"/>
          <w:sz w:val="32"/>
          <w:szCs w:val="32"/>
        </w:rPr>
        <w:t>5</w:t>
      </w:r>
      <w:r>
        <w:rPr>
          <w:rFonts w:hint="eastAsia" w:ascii="仿宋_GB2312" w:hAnsi="仿宋" w:eastAsia="仿宋_GB2312"/>
          <w:color w:val="000000"/>
          <w:kern w:val="0"/>
          <w:sz w:val="32"/>
          <w:szCs w:val="32"/>
        </w:rPr>
        <w:t>万元及以上（其他类）。</w:t>
      </w:r>
    </w:p>
    <w:p w14:paraId="0C7A0BBA">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ascii="仿宋_GB2312" w:hAnsi="Times New Roman" w:eastAsia="仿宋_GB2312"/>
          <w:color w:val="000000"/>
          <w:kern w:val="0"/>
          <w:sz w:val="32"/>
          <w:szCs w:val="32"/>
        </w:rPr>
      </w:pPr>
      <w:r>
        <w:rPr>
          <w:rFonts w:hint="eastAsia" w:ascii="仿宋_GB2312" w:hAnsi="仿宋" w:eastAsia="仿宋_GB2312"/>
          <w:color w:val="000000"/>
          <w:kern w:val="0"/>
          <w:sz w:val="32"/>
          <w:szCs w:val="32"/>
          <w:lang w:eastAsia="zh-CN"/>
        </w:rPr>
        <w:t>（</w:t>
      </w:r>
      <w:r>
        <w:rPr>
          <w:rFonts w:hint="eastAsia" w:ascii="仿宋_GB2312" w:hAnsi="仿宋" w:eastAsia="仿宋_GB2312"/>
          <w:color w:val="000000"/>
          <w:kern w:val="0"/>
          <w:sz w:val="32"/>
          <w:szCs w:val="32"/>
          <w:lang w:val="en-US" w:eastAsia="zh-CN"/>
        </w:rPr>
        <w:t>三）</w:t>
      </w:r>
      <w:r>
        <w:rPr>
          <w:rFonts w:hint="eastAsia" w:ascii="仿宋_GB2312" w:hAnsi="仿宋" w:eastAsia="仿宋_GB2312"/>
          <w:color w:val="000000"/>
          <w:kern w:val="0"/>
          <w:sz w:val="32"/>
          <w:szCs w:val="32"/>
        </w:rPr>
        <w:t>近三年，在所从事的研究领域，取得了较高水平</w:t>
      </w:r>
      <w:r>
        <w:rPr>
          <w:rFonts w:hint="eastAsia" w:ascii="仿宋_GB2312" w:hAnsi="仿宋" w:eastAsia="仿宋_GB2312"/>
          <w:color w:val="000000"/>
          <w:kern w:val="0"/>
          <w:sz w:val="32"/>
          <w:szCs w:val="32"/>
          <w:lang w:eastAsia="zh-CN"/>
        </w:rPr>
        <w:t>、具</w:t>
      </w:r>
      <w:r>
        <w:rPr>
          <w:rFonts w:hint="eastAsia" w:ascii="仿宋_GB2312" w:hAnsi="仿宋" w:eastAsia="仿宋_GB2312"/>
          <w:color w:val="000000"/>
          <w:kern w:val="0"/>
          <w:sz w:val="32"/>
          <w:szCs w:val="32"/>
        </w:rPr>
        <w:t>有学术价值的科研成果</w:t>
      </w:r>
      <w:r>
        <w:rPr>
          <w:rFonts w:hint="eastAsia" w:ascii="仿宋_GB2312" w:hAnsi="仿宋" w:eastAsia="仿宋_GB2312"/>
          <w:color w:val="000000"/>
          <w:kern w:val="0"/>
          <w:sz w:val="32"/>
          <w:szCs w:val="32"/>
          <w:lang w:eastAsia="zh-CN"/>
        </w:rPr>
        <w:t>，</w:t>
      </w:r>
      <w:r>
        <w:rPr>
          <w:rFonts w:hint="eastAsia" w:ascii="仿宋_GB2312" w:hAnsi="仿宋" w:eastAsia="仿宋_GB2312"/>
          <w:color w:val="000000"/>
          <w:kern w:val="0"/>
          <w:sz w:val="32"/>
          <w:szCs w:val="32"/>
        </w:rPr>
        <w:t>且满足下列条件之一：</w:t>
      </w:r>
    </w:p>
    <w:p w14:paraId="1CFE292D">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ascii="仿宋_GB2312" w:hAnsi="Times New Roman" w:eastAsia="仿宋_GB2312"/>
          <w:color w:val="000000"/>
          <w:kern w:val="0"/>
          <w:sz w:val="32"/>
          <w:szCs w:val="32"/>
        </w:rPr>
      </w:pPr>
      <w:r>
        <w:rPr>
          <w:rFonts w:hint="eastAsia" w:ascii="仿宋_GB2312" w:hAnsi="仿宋" w:eastAsia="仿宋_GB2312"/>
          <w:color w:val="000000"/>
          <w:kern w:val="0"/>
          <w:sz w:val="32"/>
          <w:szCs w:val="32"/>
          <w:lang w:val="en-US" w:eastAsia="zh-CN"/>
        </w:rPr>
        <w:t>1.</w:t>
      </w:r>
      <w:r>
        <w:rPr>
          <w:rFonts w:hint="eastAsia" w:ascii="仿宋_GB2312" w:hAnsi="仿宋" w:eastAsia="仿宋_GB2312"/>
          <w:color w:val="000000"/>
          <w:kern w:val="0"/>
          <w:sz w:val="32"/>
          <w:szCs w:val="32"/>
        </w:rPr>
        <w:t>以第一作者（或通讯作者）在三类及以上学术期刊发表</w:t>
      </w:r>
      <w:r>
        <w:rPr>
          <w:rFonts w:hint="eastAsia" w:ascii="仿宋_GB2312" w:hAnsi="Times New Roman" w:eastAsia="仿宋_GB2312"/>
          <w:color w:val="000000"/>
          <w:kern w:val="0"/>
          <w:sz w:val="32"/>
          <w:szCs w:val="32"/>
        </w:rPr>
        <w:t>3</w:t>
      </w:r>
      <w:r>
        <w:rPr>
          <w:rFonts w:hint="eastAsia" w:ascii="仿宋_GB2312" w:hAnsi="仿宋" w:eastAsia="仿宋_GB2312"/>
          <w:color w:val="000000"/>
          <w:kern w:val="0"/>
          <w:sz w:val="32"/>
          <w:szCs w:val="32"/>
        </w:rPr>
        <w:t>篇以上学术论文，或二类及以上学术期刊发表</w:t>
      </w:r>
      <w:r>
        <w:rPr>
          <w:rFonts w:hint="eastAsia" w:ascii="仿宋_GB2312" w:hAnsi="Times New Roman" w:eastAsia="仿宋_GB2312"/>
          <w:color w:val="000000"/>
          <w:kern w:val="0"/>
          <w:sz w:val="32"/>
          <w:szCs w:val="32"/>
        </w:rPr>
        <w:t>1</w:t>
      </w:r>
      <w:r>
        <w:rPr>
          <w:rFonts w:hint="eastAsia" w:ascii="仿宋_GB2312" w:hAnsi="仿宋" w:eastAsia="仿宋_GB2312"/>
          <w:color w:val="000000"/>
          <w:kern w:val="0"/>
          <w:sz w:val="32"/>
          <w:szCs w:val="32"/>
        </w:rPr>
        <w:t>篇以上学术论文。</w:t>
      </w:r>
      <w:r>
        <w:rPr>
          <w:rFonts w:hint="eastAsia" w:ascii="仿宋_GB2312" w:hAnsi="Times New Roman" w:eastAsia="仿宋_GB2312"/>
          <w:color w:val="000000"/>
          <w:kern w:val="0"/>
          <w:sz w:val="32"/>
          <w:szCs w:val="32"/>
        </w:rPr>
        <w:t xml:space="preserve"> </w:t>
      </w:r>
    </w:p>
    <w:p w14:paraId="5793B516">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ascii="仿宋_GB2312" w:hAnsi="Times New Roman" w:eastAsia="仿宋_GB2312"/>
          <w:color w:val="000000"/>
          <w:kern w:val="0"/>
          <w:sz w:val="32"/>
          <w:szCs w:val="32"/>
        </w:rPr>
      </w:pPr>
      <w:r>
        <w:rPr>
          <w:rFonts w:hint="eastAsia" w:ascii="仿宋_GB2312" w:hAnsi="仿宋" w:eastAsia="仿宋_GB2312"/>
          <w:color w:val="000000"/>
          <w:kern w:val="0"/>
          <w:sz w:val="32"/>
          <w:szCs w:val="32"/>
          <w:lang w:val="en-US" w:eastAsia="zh-CN"/>
        </w:rPr>
        <w:t>2.</w:t>
      </w:r>
      <w:r>
        <w:rPr>
          <w:rFonts w:hint="eastAsia" w:ascii="仿宋_GB2312" w:hAnsi="仿宋" w:eastAsia="仿宋_GB2312"/>
          <w:color w:val="000000"/>
          <w:kern w:val="0"/>
          <w:sz w:val="32"/>
          <w:szCs w:val="32"/>
        </w:rPr>
        <w:t>公开出版</w:t>
      </w:r>
      <w:r>
        <w:rPr>
          <w:rFonts w:hint="eastAsia" w:ascii="仿宋_GB2312" w:hAnsi="Times New Roman" w:eastAsia="仿宋_GB2312"/>
          <w:color w:val="000000"/>
          <w:kern w:val="0"/>
          <w:sz w:val="32"/>
          <w:szCs w:val="32"/>
        </w:rPr>
        <w:t>5</w:t>
      </w:r>
      <w:r>
        <w:rPr>
          <w:rFonts w:hint="eastAsia" w:ascii="仿宋_GB2312" w:hAnsi="仿宋" w:eastAsia="仿宋_GB2312"/>
          <w:color w:val="000000"/>
          <w:kern w:val="0"/>
          <w:sz w:val="32"/>
          <w:szCs w:val="32"/>
        </w:rPr>
        <w:t>万字以上学术专著或译著</w:t>
      </w:r>
      <w:r>
        <w:rPr>
          <w:rFonts w:hint="eastAsia" w:ascii="仿宋_GB2312" w:hAnsi="Times New Roman" w:eastAsia="仿宋_GB2312"/>
          <w:color w:val="000000"/>
          <w:kern w:val="0"/>
          <w:sz w:val="32"/>
          <w:szCs w:val="32"/>
        </w:rPr>
        <w:t>1</w:t>
      </w:r>
      <w:r>
        <w:rPr>
          <w:rFonts w:hint="eastAsia" w:ascii="仿宋_GB2312" w:hAnsi="仿宋" w:eastAsia="仿宋_GB2312"/>
          <w:color w:val="000000"/>
          <w:kern w:val="0"/>
          <w:sz w:val="32"/>
          <w:szCs w:val="32"/>
        </w:rPr>
        <w:t>部。</w:t>
      </w:r>
    </w:p>
    <w:p w14:paraId="737B3AAB">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ascii="仿宋_GB2312" w:hAnsi="Times New Roman" w:eastAsia="仿宋_GB2312"/>
          <w:color w:val="000000"/>
          <w:kern w:val="0"/>
          <w:sz w:val="32"/>
          <w:szCs w:val="32"/>
        </w:rPr>
      </w:pPr>
      <w:r>
        <w:rPr>
          <w:rFonts w:hint="eastAsia" w:ascii="仿宋_GB2312" w:hAnsi="仿宋" w:eastAsia="仿宋_GB2312"/>
          <w:color w:val="000000"/>
          <w:kern w:val="0"/>
          <w:sz w:val="32"/>
          <w:szCs w:val="32"/>
          <w:lang w:val="en-US" w:eastAsia="zh-CN"/>
        </w:rPr>
        <w:t>3.</w:t>
      </w:r>
      <w:r>
        <w:rPr>
          <w:rFonts w:hint="eastAsia" w:ascii="仿宋_GB2312" w:hAnsi="仿宋" w:eastAsia="仿宋_GB2312"/>
          <w:color w:val="000000"/>
          <w:kern w:val="0"/>
          <w:sz w:val="32"/>
          <w:szCs w:val="32"/>
        </w:rPr>
        <w:t>主编、副主编省级及以上规划教材</w:t>
      </w:r>
      <w:r>
        <w:rPr>
          <w:rFonts w:hint="eastAsia" w:ascii="仿宋_GB2312" w:hAnsi="Times New Roman" w:eastAsia="仿宋_GB2312"/>
          <w:color w:val="000000"/>
          <w:kern w:val="0"/>
          <w:sz w:val="32"/>
          <w:szCs w:val="32"/>
        </w:rPr>
        <w:t>1</w:t>
      </w:r>
      <w:r>
        <w:rPr>
          <w:rFonts w:hint="eastAsia" w:ascii="仿宋_GB2312" w:hAnsi="仿宋" w:eastAsia="仿宋_GB2312"/>
          <w:color w:val="000000"/>
          <w:kern w:val="0"/>
          <w:sz w:val="32"/>
          <w:szCs w:val="32"/>
        </w:rPr>
        <w:t>部，或主编、副主编的教材获得省级及以上教材奖</w:t>
      </w:r>
      <w:r>
        <w:rPr>
          <w:rFonts w:hint="eastAsia" w:ascii="仿宋_GB2312" w:hAnsi="Times New Roman" w:eastAsia="仿宋_GB2312"/>
          <w:color w:val="000000"/>
          <w:kern w:val="0"/>
          <w:sz w:val="32"/>
          <w:szCs w:val="32"/>
        </w:rPr>
        <w:t>1</w:t>
      </w:r>
      <w:r>
        <w:rPr>
          <w:rFonts w:hint="eastAsia" w:ascii="仿宋_GB2312" w:hAnsi="仿宋" w:eastAsia="仿宋_GB2312"/>
          <w:color w:val="000000"/>
          <w:kern w:val="0"/>
          <w:sz w:val="32"/>
          <w:szCs w:val="32"/>
        </w:rPr>
        <w:t>项。</w:t>
      </w:r>
    </w:p>
    <w:p w14:paraId="6250270D">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default" w:ascii="仿宋_GB2312" w:hAnsi="仿宋" w:eastAsia="仿宋_GB2312"/>
          <w:color w:val="000000"/>
          <w:kern w:val="0"/>
          <w:sz w:val="32"/>
          <w:szCs w:val="32"/>
          <w:highlight w:val="none"/>
          <w:lang w:val="en-US" w:eastAsia="zh-CN"/>
        </w:rPr>
      </w:pPr>
      <w:r>
        <w:rPr>
          <w:rFonts w:hint="eastAsia" w:ascii="仿宋_GB2312" w:hAnsi="仿宋" w:eastAsia="仿宋_GB2312"/>
          <w:color w:val="000000"/>
          <w:kern w:val="0"/>
          <w:sz w:val="32"/>
          <w:szCs w:val="32"/>
          <w:highlight w:val="none"/>
          <w:lang w:val="en-US" w:eastAsia="zh-CN"/>
        </w:rPr>
        <w:t>4.</w:t>
      </w:r>
      <w:bookmarkStart w:id="5" w:name="OLE_LINK2"/>
      <w:r>
        <w:rPr>
          <w:rFonts w:hint="eastAsia" w:ascii="仿宋_GB2312" w:hAnsi="仿宋" w:eastAsia="仿宋_GB2312"/>
          <w:color w:val="000000"/>
          <w:kern w:val="0"/>
          <w:sz w:val="32"/>
          <w:szCs w:val="32"/>
          <w:highlight w:val="none"/>
          <w:lang w:val="en-US" w:eastAsia="zh-CN"/>
        </w:rPr>
        <w:t>获一类科研奖励；或二类科研奖励一等奖；或二类科研奖励二等奖（前5名）、三等奖（前3名）；或三类科研奖励（第1名）1项以上。</w:t>
      </w:r>
    </w:p>
    <w:bookmarkEnd w:id="5"/>
    <w:p w14:paraId="066CD49C">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ascii="仿宋_GB2312" w:hAnsi="Times New Roman" w:eastAsia="仿宋_GB2312"/>
          <w:color w:val="000000"/>
          <w:kern w:val="0"/>
          <w:sz w:val="32"/>
          <w:szCs w:val="32"/>
        </w:rPr>
      </w:pPr>
      <w:r>
        <w:rPr>
          <w:rFonts w:hint="eastAsia" w:ascii="仿宋_GB2312" w:hAnsi="仿宋" w:eastAsia="仿宋_GB2312"/>
          <w:color w:val="000000"/>
          <w:kern w:val="0"/>
          <w:sz w:val="32"/>
          <w:szCs w:val="32"/>
          <w:lang w:val="en-US" w:eastAsia="zh-CN"/>
        </w:rPr>
        <w:t>5.</w:t>
      </w:r>
      <w:r>
        <w:rPr>
          <w:rFonts w:hint="eastAsia" w:ascii="仿宋_GB2312" w:hAnsi="仿宋" w:eastAsia="仿宋_GB2312"/>
          <w:color w:val="000000"/>
          <w:kern w:val="0"/>
          <w:sz w:val="32"/>
          <w:szCs w:val="32"/>
        </w:rPr>
        <w:t>获得二类知识产权</w:t>
      </w:r>
      <w:r>
        <w:rPr>
          <w:rFonts w:hint="eastAsia" w:ascii="仿宋_GB2312" w:hAnsi="Times New Roman" w:eastAsia="仿宋_GB2312"/>
          <w:color w:val="000000"/>
          <w:kern w:val="0"/>
          <w:sz w:val="32"/>
          <w:szCs w:val="32"/>
        </w:rPr>
        <w:t>1</w:t>
      </w:r>
      <w:r>
        <w:rPr>
          <w:rFonts w:hint="eastAsia" w:ascii="仿宋_GB2312" w:hAnsi="仿宋" w:eastAsia="仿宋_GB2312"/>
          <w:color w:val="000000"/>
          <w:kern w:val="0"/>
          <w:sz w:val="32"/>
          <w:szCs w:val="32"/>
        </w:rPr>
        <w:t>项以上。</w:t>
      </w:r>
    </w:p>
    <w:p w14:paraId="71836756">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rPr>
      </w:pPr>
      <w:r>
        <w:rPr>
          <w:rFonts w:hint="eastAsia" w:ascii="仿宋_GB2312" w:hAnsi="仿宋" w:eastAsia="仿宋_GB2312"/>
          <w:color w:val="000000"/>
          <w:kern w:val="0"/>
          <w:sz w:val="32"/>
          <w:szCs w:val="32"/>
          <w:lang w:val="en-US" w:eastAsia="zh-CN"/>
        </w:rPr>
        <w:t>6.</w:t>
      </w:r>
      <w:r>
        <w:rPr>
          <w:rFonts w:hint="eastAsia" w:ascii="仿宋_GB2312" w:hAnsi="仿宋" w:eastAsia="仿宋_GB2312"/>
          <w:color w:val="000000"/>
          <w:kern w:val="0"/>
          <w:sz w:val="32"/>
          <w:szCs w:val="32"/>
        </w:rPr>
        <w:t>主持二类成果推广</w:t>
      </w:r>
      <w:r>
        <w:rPr>
          <w:rFonts w:hint="eastAsia" w:ascii="仿宋_GB2312" w:hAnsi="Times New Roman" w:eastAsia="仿宋_GB2312"/>
          <w:color w:val="000000"/>
          <w:kern w:val="0"/>
          <w:sz w:val="32"/>
          <w:szCs w:val="32"/>
        </w:rPr>
        <w:t>1</w:t>
      </w:r>
      <w:r>
        <w:rPr>
          <w:rFonts w:hint="eastAsia" w:ascii="仿宋_GB2312" w:hAnsi="仿宋" w:eastAsia="仿宋_GB2312"/>
          <w:color w:val="000000"/>
          <w:kern w:val="0"/>
          <w:sz w:val="32"/>
          <w:szCs w:val="32"/>
        </w:rPr>
        <w:t>项以上。</w:t>
      </w:r>
    </w:p>
    <w:p w14:paraId="31A0E1E9">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eastAsia="zh-CN"/>
        </w:rPr>
      </w:pPr>
      <w:r>
        <w:rPr>
          <w:rFonts w:hint="eastAsia" w:ascii="仿宋_GB2312" w:hAnsi="仿宋" w:eastAsia="仿宋_GB2312"/>
          <w:color w:val="000000"/>
          <w:kern w:val="0"/>
          <w:sz w:val="32"/>
          <w:szCs w:val="32"/>
          <w:lang w:eastAsia="zh-CN"/>
        </w:rPr>
        <w:t>（</w:t>
      </w:r>
      <w:r>
        <w:rPr>
          <w:rFonts w:hint="eastAsia" w:ascii="仿宋_GB2312" w:hAnsi="仿宋" w:eastAsia="仿宋_GB2312"/>
          <w:color w:val="000000"/>
          <w:kern w:val="0"/>
          <w:sz w:val="32"/>
          <w:szCs w:val="32"/>
          <w:lang w:val="en-US" w:eastAsia="zh-CN"/>
        </w:rPr>
        <w:t>四）</w:t>
      </w:r>
      <w:r>
        <w:rPr>
          <w:rFonts w:hint="eastAsia" w:ascii="仿宋_GB2312" w:hAnsi="仿宋" w:eastAsia="仿宋_GB2312"/>
          <w:color w:val="000000"/>
          <w:kern w:val="0"/>
          <w:sz w:val="32"/>
          <w:szCs w:val="32"/>
          <w:lang w:eastAsia="zh-CN"/>
        </w:rPr>
        <w:t>每学年至少开设1门本科生专业课程，且能够讲授1门以上与本学科专业有关的研究生主要课程。</w:t>
      </w:r>
    </w:p>
    <w:p w14:paraId="17A8BF7B">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eastAsia" w:ascii="仿宋_GB2312" w:hAnsi="宋体" w:eastAsia="仿宋_GB2312" w:cs="仿宋_GB2312"/>
          <w:bCs/>
          <w:color w:val="00B050"/>
          <w:kern w:val="24"/>
          <w:sz w:val="32"/>
          <w:szCs w:val="32"/>
          <w:lang w:val="zh-TW" w:eastAsia="zh-CN"/>
        </w:rPr>
      </w:pPr>
      <w:r>
        <w:rPr>
          <w:rFonts w:hint="eastAsia" w:ascii="仿宋_GB2312" w:hAnsi="仿宋" w:eastAsia="仿宋_GB2312"/>
          <w:b/>
          <w:bCs/>
          <w:color w:val="000000"/>
          <w:kern w:val="0"/>
          <w:sz w:val="32"/>
          <w:szCs w:val="32"/>
          <w:lang w:val="en-US" w:eastAsia="zh-CN"/>
        </w:rPr>
        <w:t>第七条</w:t>
      </w:r>
      <w:r>
        <w:rPr>
          <w:rFonts w:hint="eastAsia" w:ascii="仿宋_GB2312" w:hAnsi="仿宋" w:eastAsia="仿宋_GB2312"/>
          <w:color w:val="000000"/>
          <w:kern w:val="0"/>
          <w:sz w:val="32"/>
          <w:szCs w:val="32"/>
          <w:lang w:val="en-US" w:eastAsia="zh-CN"/>
        </w:rPr>
        <w:t xml:space="preserve"> 校外</w:t>
      </w:r>
      <w:r>
        <w:rPr>
          <w:rFonts w:hint="eastAsia" w:ascii="仿宋_GB2312" w:hAnsi="仿宋" w:eastAsia="仿宋_GB2312"/>
          <w:color w:val="000000"/>
          <w:kern w:val="0"/>
          <w:sz w:val="32"/>
          <w:szCs w:val="32"/>
          <w:lang w:val="zh-TW" w:eastAsia="zh-TW"/>
        </w:rPr>
        <w:t>兼职导师申请人所在单位</w:t>
      </w:r>
      <w:r>
        <w:rPr>
          <w:rFonts w:hint="eastAsia" w:ascii="仿宋_GB2312" w:hAnsi="仿宋" w:eastAsia="仿宋_GB2312"/>
          <w:color w:val="000000"/>
          <w:kern w:val="0"/>
          <w:sz w:val="32"/>
          <w:szCs w:val="32"/>
          <w:lang w:val="en-US" w:eastAsia="zh-CN"/>
        </w:rPr>
        <w:t>须为</w:t>
      </w:r>
      <w:r>
        <w:rPr>
          <w:rFonts w:hint="eastAsia" w:ascii="仿宋_GB2312" w:hAnsi="仿宋" w:eastAsia="仿宋_GB2312"/>
          <w:color w:val="000000"/>
          <w:kern w:val="0"/>
          <w:sz w:val="32"/>
          <w:szCs w:val="32"/>
          <w:lang w:val="zh-TW" w:eastAsia="zh-TW"/>
        </w:rPr>
        <w:t>高等院校</w:t>
      </w:r>
      <w:r>
        <w:rPr>
          <w:rFonts w:hint="eastAsia" w:ascii="仿宋_GB2312" w:hAnsi="仿宋" w:eastAsia="仿宋_GB2312"/>
          <w:color w:val="000000"/>
          <w:kern w:val="0"/>
          <w:sz w:val="32"/>
          <w:szCs w:val="32"/>
          <w:lang w:val="zh-TW" w:eastAsia="zh-CN"/>
        </w:rPr>
        <w:t>、</w:t>
      </w:r>
      <w:r>
        <w:rPr>
          <w:rFonts w:hint="eastAsia" w:ascii="仿宋_GB2312" w:hAnsi="仿宋" w:eastAsia="仿宋_GB2312"/>
          <w:color w:val="000000"/>
          <w:kern w:val="0"/>
          <w:sz w:val="32"/>
          <w:szCs w:val="32"/>
          <w:lang w:val="en-US" w:eastAsia="zh-CN"/>
        </w:rPr>
        <w:t>科研院所、</w:t>
      </w:r>
      <w:r>
        <w:rPr>
          <w:rFonts w:hint="eastAsia" w:ascii="仿宋_GB2312" w:hAnsi="仿宋" w:eastAsia="仿宋_GB2312"/>
          <w:color w:val="000000"/>
          <w:kern w:val="0"/>
          <w:sz w:val="32"/>
          <w:szCs w:val="32"/>
          <w:lang w:val="zh-TW" w:eastAsia="zh-TW"/>
        </w:rPr>
        <w:t>我校研究生实践基地</w:t>
      </w:r>
      <w:r>
        <w:rPr>
          <w:rFonts w:hint="eastAsia" w:ascii="仿宋_GB2312" w:hAnsi="仿宋" w:eastAsia="仿宋_GB2312"/>
          <w:color w:val="000000"/>
          <w:kern w:val="0"/>
          <w:sz w:val="32"/>
          <w:szCs w:val="32"/>
          <w:lang w:val="en-US" w:eastAsia="zh-CN"/>
        </w:rPr>
        <w:t>或</w:t>
      </w:r>
      <w:r>
        <w:rPr>
          <w:rFonts w:hint="eastAsia" w:ascii="仿宋_GB2312" w:hAnsi="仿宋" w:eastAsia="仿宋_GB2312"/>
          <w:color w:val="000000"/>
          <w:kern w:val="0"/>
          <w:sz w:val="32"/>
          <w:szCs w:val="32"/>
          <w:lang w:val="zh-TW" w:eastAsia="zh-TW"/>
        </w:rPr>
        <w:t>与我校有科研合作</w:t>
      </w:r>
      <w:r>
        <w:rPr>
          <w:rFonts w:hint="eastAsia" w:ascii="仿宋_GB2312" w:hAnsi="仿宋" w:eastAsia="仿宋_GB2312"/>
          <w:color w:val="000000"/>
          <w:kern w:val="0"/>
          <w:sz w:val="32"/>
          <w:szCs w:val="32"/>
          <w:lang w:val="en-US" w:eastAsia="zh-CN"/>
        </w:rPr>
        <w:t>的</w:t>
      </w:r>
      <w:r>
        <w:rPr>
          <w:rFonts w:hint="eastAsia" w:ascii="仿宋_GB2312" w:hAnsi="仿宋" w:eastAsia="仿宋_GB2312"/>
          <w:color w:val="000000"/>
          <w:kern w:val="0"/>
          <w:sz w:val="32"/>
          <w:szCs w:val="32"/>
          <w:lang w:val="zh-TW" w:eastAsia="zh-TW"/>
        </w:rPr>
        <w:t>单位</w:t>
      </w:r>
      <w:r>
        <w:rPr>
          <w:rFonts w:hint="eastAsia" w:ascii="仿宋_GB2312" w:hAnsi="仿宋" w:eastAsia="仿宋_GB2312"/>
          <w:color w:val="000000"/>
          <w:kern w:val="0"/>
          <w:sz w:val="32"/>
          <w:szCs w:val="32"/>
          <w:lang w:val="en-US" w:eastAsia="zh-CN"/>
        </w:rPr>
        <w:t>及</w:t>
      </w:r>
      <w:r>
        <w:rPr>
          <w:rFonts w:hint="eastAsia" w:ascii="仿宋_GB2312" w:hAnsi="仿宋" w:eastAsia="仿宋_GB2312"/>
          <w:color w:val="000000"/>
          <w:kern w:val="0"/>
          <w:sz w:val="32"/>
          <w:szCs w:val="32"/>
          <w:lang w:val="zh-TW" w:eastAsia="zh-TW"/>
        </w:rPr>
        <w:t>研究生联合培养单位，且与我校有紧密的合作关系，并对我校的学科建设或专业建设具有促进或互补作用。申请</w:t>
      </w:r>
      <w:r>
        <w:rPr>
          <w:rFonts w:hint="eastAsia" w:ascii="仿宋_GB2312" w:hAnsi="仿宋" w:eastAsia="仿宋_GB2312"/>
          <w:color w:val="000000"/>
          <w:kern w:val="0"/>
          <w:sz w:val="32"/>
          <w:szCs w:val="32"/>
        </w:rPr>
        <w:t>条件原则上</w:t>
      </w:r>
      <w:r>
        <w:rPr>
          <w:rFonts w:hint="eastAsia" w:ascii="仿宋_GB2312" w:hAnsi="仿宋" w:eastAsia="仿宋_GB2312"/>
          <w:color w:val="000000"/>
          <w:kern w:val="0"/>
          <w:sz w:val="32"/>
          <w:szCs w:val="32"/>
          <w:lang w:val="zh-TW" w:eastAsia="zh-TW"/>
        </w:rPr>
        <w:t>参照</w:t>
      </w:r>
      <w:r>
        <w:rPr>
          <w:rFonts w:hint="eastAsia" w:ascii="仿宋_GB2312" w:hAnsi="仿宋" w:eastAsia="仿宋_GB2312"/>
          <w:color w:val="000000"/>
          <w:kern w:val="0"/>
          <w:sz w:val="32"/>
          <w:szCs w:val="32"/>
          <w:lang w:val="en-US" w:eastAsia="zh-CN"/>
        </w:rPr>
        <w:t>校内导师</w:t>
      </w:r>
      <w:r>
        <w:rPr>
          <w:rFonts w:hint="eastAsia" w:ascii="仿宋_GB2312" w:hAnsi="仿宋" w:eastAsia="仿宋_GB2312"/>
          <w:color w:val="000000"/>
          <w:kern w:val="0"/>
          <w:sz w:val="32"/>
          <w:szCs w:val="32"/>
        </w:rPr>
        <w:t>遴选条件</w:t>
      </w:r>
      <w:r>
        <w:rPr>
          <w:rFonts w:hint="eastAsia" w:ascii="仿宋_GB2312" w:hAnsi="仿宋" w:eastAsia="仿宋_GB2312"/>
          <w:color w:val="000000"/>
          <w:kern w:val="0"/>
          <w:sz w:val="32"/>
          <w:szCs w:val="32"/>
          <w:lang w:val="zh-TW" w:eastAsia="zh-TW"/>
        </w:rPr>
        <w:t>执行。</w:t>
      </w:r>
    </w:p>
    <w:p w14:paraId="4BC284DB">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eastAsia" w:ascii="仿宋_GB2312" w:hAnsi="仿宋" w:eastAsia="仿宋_GB2312"/>
          <w:color w:val="000000"/>
          <w:kern w:val="0"/>
          <w:sz w:val="32"/>
          <w:szCs w:val="32"/>
          <w:lang w:val="zh-TW" w:eastAsia="zh-TW"/>
        </w:rPr>
      </w:pPr>
      <w:r>
        <w:rPr>
          <w:rFonts w:hint="eastAsia" w:ascii="仿宋_GB2312" w:hAnsi="仿宋" w:eastAsia="仿宋_GB2312"/>
          <w:b/>
          <w:bCs/>
          <w:color w:val="000000"/>
          <w:kern w:val="0"/>
          <w:sz w:val="32"/>
          <w:szCs w:val="32"/>
          <w:lang w:val="en-US" w:eastAsia="zh-CN"/>
        </w:rPr>
        <w:t>第八条</w:t>
      </w:r>
      <w:r>
        <w:rPr>
          <w:rFonts w:hint="eastAsia" w:ascii="仿宋_GB2312" w:hAnsi="仿宋" w:eastAsia="仿宋_GB2312"/>
          <w:color w:val="000000"/>
          <w:kern w:val="0"/>
          <w:sz w:val="32"/>
          <w:szCs w:val="32"/>
          <w:lang w:val="en-US" w:eastAsia="zh-CN"/>
        </w:rPr>
        <w:t xml:space="preserve"> 学校</w:t>
      </w:r>
      <w:r>
        <w:rPr>
          <w:rFonts w:hint="eastAsia" w:ascii="仿宋_GB2312" w:hAnsi="仿宋" w:eastAsia="仿宋_GB2312"/>
          <w:color w:val="000000"/>
          <w:kern w:val="0"/>
          <w:sz w:val="32"/>
          <w:szCs w:val="32"/>
          <w:lang w:val="zh-TW" w:eastAsia="zh-TW"/>
        </w:rPr>
        <w:t>鼓励青年教师积极从事</w:t>
      </w:r>
      <w:r>
        <w:rPr>
          <w:rFonts w:hint="eastAsia" w:ascii="仿宋_GB2312" w:hAnsi="仿宋" w:eastAsia="仿宋_GB2312"/>
          <w:color w:val="000000"/>
          <w:kern w:val="0"/>
          <w:sz w:val="32"/>
          <w:szCs w:val="32"/>
          <w:lang w:val="en-US" w:eastAsia="zh-CN"/>
        </w:rPr>
        <w:t>硕士</w:t>
      </w:r>
      <w:r>
        <w:rPr>
          <w:rFonts w:hint="eastAsia" w:ascii="仿宋_GB2312" w:hAnsi="仿宋" w:eastAsia="仿宋_GB2312"/>
          <w:color w:val="000000"/>
          <w:kern w:val="0"/>
          <w:sz w:val="32"/>
          <w:szCs w:val="32"/>
          <w:lang w:val="zh-TW" w:eastAsia="zh-TW"/>
        </w:rPr>
        <w:t>研究生培养和教学科研工作</w:t>
      </w:r>
      <w:r>
        <w:rPr>
          <w:rFonts w:hint="eastAsia" w:ascii="仿宋_GB2312" w:hAnsi="仿宋" w:eastAsia="仿宋_GB2312"/>
          <w:color w:val="000000"/>
          <w:kern w:val="0"/>
          <w:sz w:val="32"/>
          <w:szCs w:val="32"/>
          <w:lang w:val="zh-TW" w:eastAsia="zh-CN"/>
        </w:rPr>
        <w:t>。</w:t>
      </w:r>
      <w:r>
        <w:rPr>
          <w:rFonts w:hint="eastAsia" w:ascii="仿宋_GB2312" w:hAnsi="仿宋" w:eastAsia="仿宋_GB2312"/>
          <w:color w:val="000000"/>
          <w:kern w:val="0"/>
          <w:sz w:val="32"/>
          <w:szCs w:val="32"/>
          <w:lang w:val="zh-TW" w:eastAsia="zh-TW"/>
        </w:rPr>
        <w:t>具有博士学位且具有中级专业技术职务的</w:t>
      </w:r>
      <w:r>
        <w:rPr>
          <w:rFonts w:hint="eastAsia" w:ascii="仿宋_GB2312" w:hAnsi="仿宋" w:eastAsia="仿宋_GB2312"/>
          <w:color w:val="000000"/>
          <w:kern w:val="0"/>
          <w:sz w:val="32"/>
          <w:szCs w:val="32"/>
          <w:lang w:val="en-US" w:eastAsia="zh-CN"/>
        </w:rPr>
        <w:t>校内</w:t>
      </w:r>
      <w:r>
        <w:rPr>
          <w:rFonts w:hint="eastAsia" w:ascii="仿宋_GB2312" w:hAnsi="仿宋" w:eastAsia="仿宋_GB2312"/>
          <w:color w:val="000000"/>
          <w:kern w:val="0"/>
          <w:sz w:val="32"/>
          <w:szCs w:val="32"/>
          <w:lang w:val="zh-TW" w:eastAsia="zh-TW"/>
        </w:rPr>
        <w:t>年轻教师，近三年科研业绩满足以下条款中1项（含）以上，可申请</w:t>
      </w:r>
      <w:r>
        <w:rPr>
          <w:rFonts w:hint="eastAsia" w:ascii="仿宋_GB2312" w:hAnsi="仿宋" w:eastAsia="仿宋_GB2312"/>
          <w:color w:val="000000"/>
          <w:kern w:val="0"/>
          <w:sz w:val="32"/>
          <w:szCs w:val="32"/>
          <w:lang w:val="en-US" w:eastAsia="zh-CN"/>
        </w:rPr>
        <w:t>担任</w:t>
      </w:r>
      <w:r>
        <w:rPr>
          <w:rFonts w:hint="eastAsia" w:ascii="仿宋_GB2312" w:hAnsi="仿宋" w:eastAsia="仿宋_GB2312"/>
          <w:color w:val="000000"/>
          <w:kern w:val="0"/>
          <w:sz w:val="32"/>
          <w:szCs w:val="32"/>
          <w:lang w:val="zh-TW" w:eastAsia="zh-TW"/>
        </w:rPr>
        <w:t>硕士研究生导师：</w:t>
      </w:r>
    </w:p>
    <w:p w14:paraId="03C00EE3">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highlight w:val="none"/>
          <w:lang w:val="en-US" w:eastAsia="zh-CN"/>
        </w:rPr>
      </w:pPr>
      <w:r>
        <w:rPr>
          <w:rFonts w:hint="eastAsia" w:ascii="仿宋_GB2312" w:hAnsi="仿宋" w:eastAsia="仿宋_GB2312"/>
          <w:color w:val="000000"/>
          <w:kern w:val="0"/>
          <w:sz w:val="32"/>
          <w:szCs w:val="32"/>
          <w:highlight w:val="none"/>
          <w:lang w:val="zh-TW" w:eastAsia="zh-TW"/>
        </w:rPr>
        <w:t>1.</w:t>
      </w:r>
      <w:bookmarkStart w:id="6" w:name="OLE_LINK3"/>
      <w:r>
        <w:rPr>
          <w:rFonts w:hint="eastAsia" w:ascii="仿宋_GB2312" w:hAnsi="仿宋" w:eastAsia="仿宋_GB2312"/>
          <w:color w:val="000000"/>
          <w:kern w:val="0"/>
          <w:sz w:val="32"/>
          <w:szCs w:val="32"/>
          <w:highlight w:val="none"/>
          <w:lang w:val="en-US" w:eastAsia="zh-CN"/>
        </w:rPr>
        <w:t>需主持过四类及以上科学研究项目，或作为前三名成员参与过三类及以上科学研究项目；且上述项目须为近三年内立项（以项目立项批文时间为准）。</w:t>
      </w:r>
    </w:p>
    <w:bookmarkEnd w:id="6"/>
    <w:p w14:paraId="4C71945C">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zh-TW" w:eastAsia="zh-TW"/>
        </w:rPr>
      </w:pPr>
      <w:r>
        <w:rPr>
          <w:rFonts w:hint="eastAsia" w:ascii="仿宋_GB2312" w:hAnsi="仿宋" w:eastAsia="仿宋_GB2312"/>
          <w:color w:val="000000"/>
          <w:kern w:val="0"/>
          <w:sz w:val="32"/>
          <w:szCs w:val="32"/>
          <w:lang w:val="zh-TW" w:eastAsia="zh-TW"/>
        </w:rPr>
        <w:t>2.到校科研经费达到10万元及以上（理工类）或5万元及以上（其他类）。</w:t>
      </w:r>
    </w:p>
    <w:p w14:paraId="40043DF5">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zh-TW" w:eastAsia="zh-TW"/>
        </w:rPr>
      </w:pPr>
      <w:r>
        <w:rPr>
          <w:rFonts w:hint="eastAsia" w:ascii="仿宋_GB2312" w:hAnsi="仿宋" w:eastAsia="仿宋_GB2312"/>
          <w:color w:val="000000"/>
          <w:kern w:val="0"/>
          <w:sz w:val="32"/>
          <w:szCs w:val="32"/>
          <w:lang w:val="zh-TW" w:eastAsia="zh-TW"/>
        </w:rPr>
        <w:t xml:space="preserve">3.以第一作者（或通讯作者）在二类及以上学术期刊发表3篇以上学术论文。 </w:t>
      </w:r>
    </w:p>
    <w:p w14:paraId="391751A1">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default" w:ascii="仿宋_GB2312" w:hAnsi="仿宋" w:eastAsia="仿宋_GB2312"/>
          <w:color w:val="000000"/>
          <w:kern w:val="0"/>
          <w:sz w:val="32"/>
          <w:szCs w:val="32"/>
          <w:highlight w:val="none"/>
          <w:lang w:val="en-US" w:eastAsia="zh-CN"/>
        </w:rPr>
      </w:pPr>
      <w:r>
        <w:rPr>
          <w:rFonts w:hint="eastAsia" w:ascii="仿宋_GB2312" w:hAnsi="仿宋" w:eastAsia="仿宋_GB2312"/>
          <w:color w:val="000000"/>
          <w:kern w:val="0"/>
          <w:sz w:val="32"/>
          <w:szCs w:val="32"/>
          <w:lang w:val="zh-TW" w:eastAsia="zh-TW"/>
        </w:rPr>
        <w:t>4.</w:t>
      </w:r>
      <w:r>
        <w:rPr>
          <w:rFonts w:hint="eastAsia" w:ascii="仿宋_GB2312" w:hAnsi="仿宋" w:eastAsia="仿宋_GB2312"/>
          <w:color w:val="000000"/>
          <w:kern w:val="0"/>
          <w:sz w:val="32"/>
          <w:szCs w:val="32"/>
          <w:highlight w:val="none"/>
          <w:lang w:val="en-US" w:eastAsia="zh-CN"/>
        </w:rPr>
        <w:t>获一类科研奖励；或二类科研奖励一等奖；或二类科研奖励二等奖（前5名）、三等奖（前3名）；或三类科研奖励（第1名）1项以上。</w:t>
      </w:r>
    </w:p>
    <w:p w14:paraId="32508DE1">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zh-TW" w:eastAsia="zh-TW"/>
        </w:rPr>
      </w:pPr>
      <w:r>
        <w:rPr>
          <w:rFonts w:hint="eastAsia" w:ascii="仿宋_GB2312" w:hAnsi="仿宋" w:eastAsia="仿宋_GB2312"/>
          <w:color w:val="000000"/>
          <w:kern w:val="0"/>
          <w:sz w:val="32"/>
          <w:szCs w:val="32"/>
          <w:lang w:val="zh-TW" w:eastAsia="zh-TW"/>
        </w:rPr>
        <w:t>5.获得一类知识产权2项（含）以上。</w:t>
      </w:r>
    </w:p>
    <w:p w14:paraId="1D405720">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zh-TW" w:eastAsia="zh-TW"/>
        </w:rPr>
      </w:pPr>
      <w:r>
        <w:rPr>
          <w:rFonts w:hint="eastAsia" w:ascii="仿宋_GB2312" w:hAnsi="仿宋" w:eastAsia="仿宋_GB2312"/>
          <w:color w:val="000000"/>
          <w:kern w:val="0"/>
          <w:sz w:val="32"/>
          <w:szCs w:val="32"/>
          <w:lang w:val="zh-TW" w:eastAsia="zh-TW"/>
        </w:rPr>
        <w:t>6.博士后出站人员。</w:t>
      </w:r>
    </w:p>
    <w:p w14:paraId="19DBD4CB">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zh-TW" w:eastAsia="zh-TW"/>
        </w:rPr>
      </w:pPr>
      <w:r>
        <w:rPr>
          <w:rFonts w:hint="eastAsia" w:ascii="仿宋_GB2312" w:hAnsi="仿宋" w:eastAsia="仿宋_GB2312"/>
          <w:color w:val="000000"/>
          <w:kern w:val="0"/>
          <w:sz w:val="32"/>
          <w:szCs w:val="32"/>
          <w:lang w:val="zh-TW" w:eastAsia="zh-TW"/>
        </w:rPr>
        <w:t>7.其他：满足2、3、5条款中1/2条件的两条（含）以上。</w:t>
      </w:r>
    </w:p>
    <w:p w14:paraId="3D681878">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both"/>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第九条</w:t>
      </w:r>
      <w:r>
        <w:rPr>
          <w:rFonts w:hint="eastAsia" w:ascii="仿宋_GB2312" w:hAnsi="仿宋" w:eastAsia="仿宋_GB2312"/>
          <w:color w:val="000000"/>
          <w:kern w:val="0"/>
          <w:sz w:val="32"/>
          <w:szCs w:val="32"/>
          <w:lang w:val="en-US" w:eastAsia="zh-CN"/>
        </w:rPr>
        <w:t xml:space="preserve"> </w:t>
      </w:r>
      <w:bookmarkStart w:id="7" w:name="OLE_LINK1"/>
      <w:r>
        <w:rPr>
          <w:rFonts w:hint="eastAsia" w:ascii="仿宋_GB2312" w:hAnsi="仿宋" w:eastAsia="仿宋_GB2312"/>
          <w:color w:val="000000"/>
          <w:kern w:val="0"/>
          <w:sz w:val="32"/>
          <w:szCs w:val="32"/>
          <w:lang w:val="en-US" w:eastAsia="zh-CN"/>
        </w:rPr>
        <w:t>专业学位硕士研究生校外导师</w:t>
      </w:r>
      <w:bookmarkEnd w:id="7"/>
      <w:r>
        <w:rPr>
          <w:rFonts w:hint="eastAsia" w:ascii="仿宋_GB2312" w:hAnsi="仿宋" w:eastAsia="仿宋_GB2312"/>
          <w:color w:val="000000"/>
          <w:kern w:val="0"/>
          <w:sz w:val="32"/>
          <w:szCs w:val="32"/>
          <w:lang w:val="en-US" w:eastAsia="zh-CN"/>
        </w:rPr>
        <w:t>应满足以下条件：</w:t>
      </w:r>
    </w:p>
    <w:p w14:paraId="21522181">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both"/>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1.具有高级及以上专业技术职称，年龄不超过57周岁。</w:t>
      </w:r>
    </w:p>
    <w:p w14:paraId="4189BC94">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i w:val="0"/>
          <w:iCs w:val="0"/>
          <w:caps w:val="0"/>
          <w:color w:val="00B050"/>
          <w:spacing w:val="0"/>
          <w:sz w:val="30"/>
          <w:szCs w:val="30"/>
          <w:lang w:val="en-US" w:eastAsia="zh-CN"/>
        </w:rPr>
      </w:pPr>
      <w:r>
        <w:rPr>
          <w:rFonts w:hint="eastAsia" w:ascii="仿宋_GB2312" w:hAnsi="仿宋" w:eastAsia="仿宋_GB2312"/>
          <w:color w:val="000000"/>
          <w:kern w:val="0"/>
          <w:sz w:val="32"/>
          <w:szCs w:val="32"/>
          <w:lang w:val="en-US" w:eastAsia="zh-CN"/>
        </w:rPr>
        <w:t>2.热爱专业学位研究生教育工作，具有较强的敬业精神和科学的教育理念，在本行业领域具有丰富的实践经验、较突出的工作业绩和较高的业务水平，并有较充足的时间。优先从我校研究生实践基地的在职在编人员中选聘。</w:t>
      </w:r>
    </w:p>
    <w:p w14:paraId="2967237A">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3.近5年内有公开发表的学术论文、科研项目或科研成果。</w:t>
      </w:r>
    </w:p>
    <w:p w14:paraId="220F4B2D">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4.能够沟通协调其所在单位与学校相关学科开展实质性的教学、科研合作。</w:t>
      </w:r>
    </w:p>
    <w:p w14:paraId="063F2A70">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5.能够参与体现职业岗位能力的专业学位研究生培养方案、课程体系制订、修订。</w:t>
      </w:r>
    </w:p>
    <w:p w14:paraId="2798D499">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6.能够为研究生开展专业实践教学和撰写学位论文提供必要的设施和条件。</w:t>
      </w:r>
    </w:p>
    <w:p w14:paraId="173202FB">
      <w:pPr>
        <w:keepNext w:val="0"/>
        <w:keepLines w:val="0"/>
        <w:pageBreakBefore w:val="0"/>
        <w:widowControl/>
        <w:kinsoku/>
        <w:wordWrap/>
        <w:overflowPunct/>
        <w:topLinePunct w:val="0"/>
        <w:autoSpaceDE w:val="0"/>
        <w:autoSpaceDN/>
        <w:bidi w:val="0"/>
        <w:adjustRightInd w:val="0"/>
        <w:snapToGrid w:val="0"/>
        <w:spacing w:line="560" w:lineRule="exact"/>
        <w:jc w:val="left"/>
        <w:textAlignment w:val="auto"/>
        <w:rPr>
          <w:rFonts w:hint="default" w:ascii="仿宋_GB2312" w:hAnsi="仿宋" w:eastAsia="仿宋_GB2312"/>
          <w:color w:val="000000"/>
          <w:kern w:val="0"/>
          <w:sz w:val="32"/>
          <w:szCs w:val="32"/>
          <w:lang w:val="en-US" w:eastAsia="zh-CN"/>
        </w:rPr>
      </w:pPr>
    </w:p>
    <w:p w14:paraId="1125ED15">
      <w:pPr>
        <w:keepNext w:val="0"/>
        <w:keepLines w:val="0"/>
        <w:pageBreakBefore w:val="0"/>
        <w:widowControl/>
        <w:kinsoku/>
        <w:wordWrap/>
        <w:overflowPunct/>
        <w:topLinePunct w:val="0"/>
        <w:autoSpaceDE w:val="0"/>
        <w:autoSpaceDN/>
        <w:bidi w:val="0"/>
        <w:adjustRightInd w:val="0"/>
        <w:snapToGrid w:val="0"/>
        <w:spacing w:line="560" w:lineRule="exact"/>
        <w:ind w:left="633" w:hanging="630" w:hangingChars="197"/>
        <w:jc w:val="center"/>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w:t>
      </w:r>
      <w:r>
        <w:rPr>
          <w:rFonts w:hint="eastAsia" w:ascii="黑体" w:hAnsi="黑体" w:eastAsia="黑体" w:cs="黑体"/>
          <w:b w:val="0"/>
          <w:bCs w:val="0"/>
          <w:color w:val="000000"/>
          <w:kern w:val="0"/>
          <w:sz w:val="32"/>
          <w:szCs w:val="32"/>
          <w:lang w:val="en-US" w:eastAsia="zh-CN"/>
        </w:rPr>
        <w:t>三</w:t>
      </w:r>
      <w:r>
        <w:rPr>
          <w:rFonts w:hint="eastAsia" w:ascii="黑体" w:hAnsi="黑体" w:eastAsia="黑体" w:cs="黑体"/>
          <w:b w:val="0"/>
          <w:bCs w:val="0"/>
          <w:color w:val="000000"/>
          <w:kern w:val="0"/>
          <w:sz w:val="32"/>
          <w:szCs w:val="32"/>
        </w:rPr>
        <w:t>章 硕士生导师遴选程序</w:t>
      </w:r>
    </w:p>
    <w:p w14:paraId="67D1437B">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第十条</w:t>
      </w:r>
      <w:r>
        <w:rPr>
          <w:rFonts w:hint="eastAsia" w:ascii="仿宋_GB2312" w:hAnsi="仿宋" w:eastAsia="仿宋_GB2312"/>
          <w:color w:val="000000"/>
          <w:kern w:val="0"/>
          <w:sz w:val="32"/>
          <w:szCs w:val="32"/>
          <w:lang w:val="en-US" w:eastAsia="zh-CN"/>
        </w:rPr>
        <w:t xml:space="preserve"> 硕士生导师遴选遵循以下程序：</w:t>
      </w:r>
    </w:p>
    <w:p w14:paraId="2BFFF83D">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1.个人申请。申请人向申报学科专业所属学院学位评定分委员会提出申请，并提供项目批文、论文、专著、教材、专利、成果鉴定或奖励等相关证明材料。申请人所在单位党委对申请人的政治素质和师德师风审核把关。所申请学科专业所在的学院对申请材料核实把关。</w:t>
      </w:r>
    </w:p>
    <w:p w14:paraId="1FD9CF08">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2.学位评定分委员会初审。各学院学位评定分委员会对照遴选条件对申请者材料进行真实性审核和学科相关性审核，并召开学位评定分委员会对申请材料进行评议和票决。到会委员至少为全体委员的三分之二，会议方为有效；获全体委员过半数及以上同意票者，方可通过。学位评定分委员会需将初审合格者的名单及相关材料在本单位公示一周，无异议后将相关意见及材料以书面报告送交研究生院。</w:t>
      </w:r>
    </w:p>
    <w:p w14:paraId="3B69D3AD">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3.研究生院复审。研究生院根据本办法规定的遴选条件对各学院学位评定分委员会的推荐名单进行审核和汇总，提交校学位评定委员会审议。</w:t>
      </w:r>
    </w:p>
    <w:p w14:paraId="65982D18">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4.学校学位评定委员会会议审定。校学位评定委员会召开会议，对研究生院汇总上报的复审结果进行审核，并以无记名投票方式进行表决。到会委员至少为全体委员的三分之二，会议方为有效；获全体委员过半数及以上同意票者，方可通过。表决结果公示一周，公示结束无异议者，经校长办公会议审定后，由学校行文公布。</w:t>
      </w:r>
    </w:p>
    <w:p w14:paraId="2696DDDF">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both"/>
        <w:textAlignment w:val="auto"/>
        <w:rPr>
          <w:rFonts w:hint="eastAsia" w:ascii="仿宋_GB2312" w:hAnsi="仿宋" w:eastAsia="仿宋_GB2312"/>
          <w:color w:val="auto"/>
          <w:kern w:val="0"/>
          <w:sz w:val="32"/>
          <w:szCs w:val="32"/>
          <w:highlight w:val="none"/>
          <w:lang w:val="en-US" w:eastAsia="zh-CN"/>
        </w:rPr>
      </w:pPr>
      <w:r>
        <w:rPr>
          <w:rFonts w:hint="eastAsia" w:ascii="仿宋_GB2312" w:hAnsi="仿宋" w:eastAsia="仿宋_GB2312"/>
          <w:b/>
          <w:bCs/>
          <w:color w:val="000000"/>
          <w:kern w:val="0"/>
          <w:sz w:val="32"/>
          <w:szCs w:val="32"/>
          <w:lang w:val="en-US" w:eastAsia="zh-CN"/>
        </w:rPr>
        <w:t>第十一条</w:t>
      </w:r>
      <w:r>
        <w:rPr>
          <w:rFonts w:hint="eastAsia" w:ascii="仿宋_GB2312" w:hAnsi="仿宋" w:eastAsia="仿宋_GB2312"/>
          <w:color w:val="000000"/>
          <w:kern w:val="0"/>
          <w:sz w:val="32"/>
          <w:szCs w:val="32"/>
          <w:lang w:val="en-US" w:eastAsia="zh-CN"/>
        </w:rPr>
        <w:t xml:space="preserve"> 经评审通过的硕士生导师，列入学校硕士研究生招生简章，参加下一年度硕士</w:t>
      </w:r>
      <w:r>
        <w:rPr>
          <w:rFonts w:hint="eastAsia" w:ascii="仿宋_GB2312" w:hAnsi="仿宋" w:eastAsia="仿宋_GB2312"/>
          <w:color w:val="auto"/>
          <w:kern w:val="0"/>
          <w:sz w:val="32"/>
          <w:szCs w:val="32"/>
          <w:highlight w:val="none"/>
          <w:lang w:val="en-US" w:eastAsia="zh-CN"/>
        </w:rPr>
        <w:t>研究生招生。其中，校内导师和校外兼职导师均具备指导学术学位硕士研究生及专业学位硕士研究生的资格；专业学位硕士研究生校外导师仅可担任第二导师，与第一导师合作指导专业学位硕士研究生。</w:t>
      </w:r>
    </w:p>
    <w:p w14:paraId="3EDC7716">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both"/>
        <w:textAlignment w:val="auto"/>
        <w:rPr>
          <w:rFonts w:hint="eastAsia" w:ascii="仿宋_GB2312" w:hAnsi="仿宋" w:eastAsia="仿宋_GB2312"/>
          <w:color w:val="000000"/>
          <w:kern w:val="0"/>
          <w:sz w:val="32"/>
          <w:szCs w:val="32"/>
        </w:rPr>
      </w:pPr>
      <w:r>
        <w:rPr>
          <w:rFonts w:hint="eastAsia" w:ascii="仿宋_GB2312" w:hAnsi="仿宋" w:eastAsia="仿宋_GB2312"/>
          <w:b/>
          <w:bCs/>
          <w:color w:val="000000"/>
          <w:kern w:val="0"/>
          <w:sz w:val="32"/>
          <w:szCs w:val="32"/>
          <w:lang w:val="en-US" w:eastAsia="zh-CN"/>
        </w:rPr>
        <w:t>第十二条</w:t>
      </w:r>
      <w:r>
        <w:rPr>
          <w:rFonts w:hint="eastAsia" w:ascii="仿宋_GB2312" w:hAnsi="仿宋" w:eastAsia="仿宋_GB2312"/>
          <w:color w:val="000000"/>
          <w:kern w:val="0"/>
          <w:sz w:val="32"/>
          <w:szCs w:val="32"/>
          <w:lang w:val="en-US" w:eastAsia="zh-CN"/>
        </w:rPr>
        <w:t xml:space="preserve"> 硕士生导师遴选工作每年组织一次。</w:t>
      </w:r>
    </w:p>
    <w:p w14:paraId="567036D5">
      <w:pPr>
        <w:keepNext w:val="0"/>
        <w:keepLines w:val="0"/>
        <w:pageBreakBefore w:val="0"/>
        <w:widowControl/>
        <w:kinsoku/>
        <w:wordWrap/>
        <w:overflowPunct/>
        <w:topLinePunct w:val="0"/>
        <w:autoSpaceDE w:val="0"/>
        <w:autoSpaceDN/>
        <w:bidi w:val="0"/>
        <w:adjustRightInd w:val="0"/>
        <w:snapToGrid w:val="0"/>
        <w:spacing w:line="560" w:lineRule="exact"/>
        <w:ind w:left="633" w:hanging="633" w:hangingChars="197"/>
        <w:jc w:val="center"/>
        <w:textAlignment w:val="auto"/>
        <w:rPr>
          <w:rFonts w:hint="eastAsia" w:ascii="黑体" w:hAnsi="黑体" w:eastAsia="黑体" w:cs="黑体"/>
          <w:b/>
          <w:bCs/>
          <w:color w:val="000000"/>
          <w:kern w:val="0"/>
          <w:sz w:val="32"/>
          <w:szCs w:val="32"/>
        </w:rPr>
      </w:pPr>
    </w:p>
    <w:p w14:paraId="0B04F64C">
      <w:pPr>
        <w:keepNext w:val="0"/>
        <w:keepLines w:val="0"/>
        <w:pageBreakBefore w:val="0"/>
        <w:widowControl/>
        <w:kinsoku/>
        <w:wordWrap/>
        <w:overflowPunct/>
        <w:topLinePunct w:val="0"/>
        <w:autoSpaceDE w:val="0"/>
        <w:autoSpaceDN/>
        <w:bidi w:val="0"/>
        <w:adjustRightInd w:val="0"/>
        <w:snapToGrid w:val="0"/>
        <w:spacing w:line="560" w:lineRule="exact"/>
        <w:ind w:left="633" w:hanging="630" w:hangingChars="197"/>
        <w:jc w:val="center"/>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w:t>
      </w:r>
      <w:r>
        <w:rPr>
          <w:rFonts w:hint="eastAsia" w:ascii="黑体" w:hAnsi="黑体" w:eastAsia="黑体" w:cs="黑体"/>
          <w:b w:val="0"/>
          <w:bCs w:val="0"/>
          <w:color w:val="000000"/>
          <w:kern w:val="0"/>
          <w:sz w:val="32"/>
          <w:szCs w:val="32"/>
          <w:lang w:val="en-US" w:eastAsia="zh-CN"/>
        </w:rPr>
        <w:t>四</w:t>
      </w:r>
      <w:r>
        <w:rPr>
          <w:rFonts w:hint="eastAsia" w:ascii="黑体" w:hAnsi="黑体" w:eastAsia="黑体" w:cs="黑体"/>
          <w:b w:val="0"/>
          <w:bCs w:val="0"/>
          <w:color w:val="000000"/>
          <w:kern w:val="0"/>
          <w:sz w:val="32"/>
          <w:szCs w:val="32"/>
        </w:rPr>
        <w:t>章 硕士生导师资格复审</w:t>
      </w:r>
    </w:p>
    <w:p w14:paraId="0EEC0E88">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default"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第十三条</w:t>
      </w:r>
      <w:r>
        <w:rPr>
          <w:rFonts w:hint="eastAsia" w:ascii="仿宋_GB2312" w:hAnsi="仿宋" w:eastAsia="仿宋_GB2312"/>
          <w:color w:val="000000"/>
          <w:kern w:val="0"/>
          <w:sz w:val="32"/>
          <w:szCs w:val="32"/>
          <w:lang w:val="en-US" w:eastAsia="zh-CN"/>
        </w:rPr>
        <w:t xml:space="preserve"> 硕士生导师资格复审工作每年组织一次，所有导师每隔三年须参加一次资格复审。</w:t>
      </w:r>
    </w:p>
    <w:p w14:paraId="0AA9E03C">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第十四条</w:t>
      </w:r>
      <w:r>
        <w:rPr>
          <w:rFonts w:hint="eastAsia" w:ascii="仿宋_GB2312" w:hAnsi="仿宋" w:eastAsia="仿宋_GB2312"/>
          <w:color w:val="000000"/>
          <w:kern w:val="0"/>
          <w:sz w:val="32"/>
          <w:szCs w:val="32"/>
          <w:lang w:val="en-US" w:eastAsia="zh-CN"/>
        </w:rPr>
        <w:t xml:space="preserve"> 复审的条件同遴选条件。校内导师和校外</w:t>
      </w:r>
      <w:r>
        <w:rPr>
          <w:rFonts w:hint="eastAsia" w:ascii="仿宋_GB2312" w:hAnsi="仿宋" w:eastAsia="仿宋_GB2312"/>
          <w:color w:val="000000"/>
          <w:kern w:val="0"/>
          <w:sz w:val="32"/>
          <w:szCs w:val="32"/>
          <w:lang w:val="zh-TW" w:eastAsia="zh-TW"/>
        </w:rPr>
        <w:t>兼职导师</w:t>
      </w:r>
      <w:r>
        <w:rPr>
          <w:rFonts w:hint="eastAsia" w:ascii="仿宋_GB2312" w:hAnsi="仿宋" w:eastAsia="仿宋_GB2312"/>
          <w:color w:val="000000"/>
          <w:kern w:val="0"/>
          <w:sz w:val="32"/>
          <w:szCs w:val="32"/>
          <w:lang w:val="en-US" w:eastAsia="zh-CN"/>
        </w:rPr>
        <w:t>若取得下列标志性成果之一者，可以直接通过复审：</w:t>
      </w:r>
    </w:p>
    <w:p w14:paraId="60671356">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 xml:space="preserve">1.以第一作者（或通讯作者）在二类及以上学术期刊发表4篇以上学术论文，或在一类学术期刊发表2篇以上学术论文，或在一类学术期刊发表1篇、二类学术期刊发表2篇以上学术论文。 </w:t>
      </w:r>
    </w:p>
    <w:p w14:paraId="590FC7F9">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2.公开出版与本人研究方向一致的10万字以上学术专著或译著1部。</w:t>
      </w:r>
    </w:p>
    <w:p w14:paraId="37F55DA2">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3.主编、副主编国家级规划教材1部，或主编、副主编的教材获得国家级教材奖1项。</w:t>
      </w:r>
    </w:p>
    <w:p w14:paraId="4D7350F8">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4.获二类一等及以上科研奖励，或二类二等科研奖励（排名前4），或二类三等科研奖励（排名第1），或三类一等科研奖励主要完成人（排名前3），或三类二等科研奖励（排名第1）。</w:t>
      </w:r>
    </w:p>
    <w:p w14:paraId="7C668E1B">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5.主持二类及以上科研项目或参加一类科研项目1项（前10名）。</w:t>
      </w:r>
    </w:p>
    <w:p w14:paraId="68EB1A9A">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6.获得一类知识产权1项以上，或二类知识产权2项以上。</w:t>
      </w:r>
    </w:p>
    <w:p w14:paraId="4BEE07FA">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color w:val="000000"/>
          <w:kern w:val="0"/>
          <w:sz w:val="32"/>
          <w:szCs w:val="32"/>
          <w:lang w:val="en-US" w:eastAsia="zh-CN"/>
        </w:rPr>
        <w:t>7.主持一类成果推广1项以上。</w:t>
      </w:r>
    </w:p>
    <w:p w14:paraId="5764010E">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left"/>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第十五条</w:t>
      </w:r>
      <w:r>
        <w:rPr>
          <w:rFonts w:hint="eastAsia" w:ascii="仿宋_GB2312" w:hAnsi="仿宋" w:eastAsia="仿宋_GB2312"/>
          <w:color w:val="000000"/>
          <w:kern w:val="0"/>
          <w:sz w:val="32"/>
          <w:szCs w:val="32"/>
          <w:lang w:val="en-US" w:eastAsia="zh-CN"/>
        </w:rPr>
        <w:t xml:space="preserve"> 硕士生导师资格复审程序与遴选程序相同。通过硕士生导师资格复审者，可继续招收、培养硕士研究生。未通过硕士生导师资格复审者，从复审的当年度起暂停招收研究生。</w:t>
      </w:r>
    </w:p>
    <w:p w14:paraId="1EFDDD13">
      <w:pPr>
        <w:keepNext w:val="0"/>
        <w:keepLines w:val="0"/>
        <w:pageBreakBefore w:val="0"/>
        <w:widowControl/>
        <w:kinsoku/>
        <w:wordWrap/>
        <w:overflowPunct/>
        <w:topLinePunct w:val="0"/>
        <w:autoSpaceDE w:val="0"/>
        <w:autoSpaceDN/>
        <w:bidi w:val="0"/>
        <w:adjustRightInd w:val="0"/>
        <w:snapToGrid w:val="0"/>
        <w:spacing w:line="560" w:lineRule="exact"/>
        <w:ind w:firstLine="640" w:firstLineChars="200"/>
        <w:jc w:val="left"/>
        <w:textAlignment w:val="auto"/>
        <w:rPr>
          <w:rFonts w:hint="eastAsia" w:ascii="仿宋_GB2312" w:hAnsi="仿宋" w:eastAsia="仿宋_GB2312"/>
          <w:color w:val="000000"/>
          <w:kern w:val="0"/>
          <w:sz w:val="32"/>
          <w:szCs w:val="32"/>
          <w:lang w:val="en-US" w:eastAsia="zh-CN"/>
        </w:rPr>
      </w:pPr>
    </w:p>
    <w:p w14:paraId="02C4EAAB">
      <w:pPr>
        <w:keepNext w:val="0"/>
        <w:keepLines w:val="0"/>
        <w:pageBreakBefore w:val="0"/>
        <w:widowControl/>
        <w:kinsoku/>
        <w:wordWrap/>
        <w:overflowPunct/>
        <w:topLinePunct w:val="0"/>
        <w:autoSpaceDE w:val="0"/>
        <w:autoSpaceDN/>
        <w:bidi w:val="0"/>
        <w:adjustRightInd w:val="0"/>
        <w:snapToGrid w:val="0"/>
        <w:spacing w:line="560" w:lineRule="exact"/>
        <w:ind w:left="633" w:hanging="630" w:hangingChars="197"/>
        <w:jc w:val="center"/>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w:t>
      </w:r>
      <w:r>
        <w:rPr>
          <w:rFonts w:hint="eastAsia" w:ascii="黑体" w:hAnsi="黑体" w:eastAsia="黑体" w:cs="黑体"/>
          <w:b w:val="0"/>
          <w:bCs w:val="0"/>
          <w:color w:val="000000"/>
          <w:kern w:val="0"/>
          <w:sz w:val="32"/>
          <w:szCs w:val="32"/>
          <w:lang w:val="en-US" w:eastAsia="zh-CN"/>
        </w:rPr>
        <w:t>五</w:t>
      </w:r>
      <w:r>
        <w:rPr>
          <w:rFonts w:hint="eastAsia" w:ascii="黑体" w:hAnsi="黑体" w:eastAsia="黑体" w:cs="黑体"/>
          <w:b w:val="0"/>
          <w:bCs w:val="0"/>
          <w:color w:val="000000"/>
          <w:kern w:val="0"/>
          <w:sz w:val="32"/>
          <w:szCs w:val="32"/>
        </w:rPr>
        <w:t>章 附 则</w:t>
      </w:r>
    </w:p>
    <w:p w14:paraId="36C98FE0">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both"/>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第十六条</w:t>
      </w:r>
      <w:r>
        <w:rPr>
          <w:rFonts w:hint="eastAsia" w:ascii="仿宋_GB2312" w:hAnsi="仿宋" w:eastAsia="仿宋_GB2312"/>
          <w:color w:val="000000"/>
          <w:kern w:val="0"/>
          <w:sz w:val="32"/>
          <w:szCs w:val="32"/>
          <w:lang w:val="en-US" w:eastAsia="zh-CN"/>
        </w:rPr>
        <w:t xml:space="preserve"> 本办法中所涉及的论文、项目和奖项类别等以《安徽省普通本科高等学校教师专业技术资格申报条件》（试行）（皖教人〔2016〕1号）为准。</w:t>
      </w:r>
    </w:p>
    <w:p w14:paraId="263EC47D">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both"/>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第十七条</w:t>
      </w:r>
      <w:r>
        <w:rPr>
          <w:rFonts w:hint="eastAsia" w:ascii="仿宋_GB2312" w:hAnsi="仿宋" w:eastAsia="仿宋_GB2312"/>
          <w:color w:val="000000"/>
          <w:kern w:val="0"/>
          <w:sz w:val="32"/>
          <w:szCs w:val="32"/>
          <w:lang w:val="en-US" w:eastAsia="zh-CN"/>
        </w:rPr>
        <w:t xml:space="preserve"> 被EI收录的论文，仅认可检索系统判断为Document type: Journal article（JA）。</w:t>
      </w:r>
    </w:p>
    <w:p w14:paraId="16ED4E35">
      <w:pPr>
        <w:keepNext w:val="0"/>
        <w:keepLines w:val="0"/>
        <w:pageBreakBefore w:val="0"/>
        <w:widowControl/>
        <w:kinsoku/>
        <w:wordWrap/>
        <w:overflowPunct/>
        <w:topLinePunct w:val="0"/>
        <w:autoSpaceDE w:val="0"/>
        <w:autoSpaceDN/>
        <w:bidi w:val="0"/>
        <w:adjustRightInd w:val="0"/>
        <w:snapToGrid w:val="0"/>
        <w:spacing w:line="560" w:lineRule="exact"/>
        <w:ind w:firstLine="643" w:firstLineChars="200"/>
        <w:jc w:val="both"/>
        <w:textAlignment w:val="auto"/>
        <w:rPr>
          <w:rFonts w:hint="eastAsia" w:ascii="仿宋_GB2312" w:hAnsi="仿宋" w:eastAsia="仿宋_GB2312"/>
          <w:color w:val="000000"/>
          <w:kern w:val="0"/>
          <w:sz w:val="32"/>
          <w:szCs w:val="32"/>
          <w:lang w:val="en-US" w:eastAsia="zh-CN"/>
        </w:rPr>
      </w:pPr>
      <w:r>
        <w:rPr>
          <w:rFonts w:hint="eastAsia" w:ascii="仿宋_GB2312" w:hAnsi="仿宋" w:eastAsia="仿宋_GB2312"/>
          <w:b/>
          <w:bCs/>
          <w:color w:val="000000"/>
          <w:kern w:val="0"/>
          <w:sz w:val="32"/>
          <w:szCs w:val="32"/>
          <w:lang w:val="en-US" w:eastAsia="zh-CN"/>
        </w:rPr>
        <w:t>第十八条</w:t>
      </w:r>
      <w:r>
        <w:rPr>
          <w:rFonts w:hint="eastAsia" w:ascii="仿宋_GB2312" w:hAnsi="仿宋" w:eastAsia="仿宋_GB2312"/>
          <w:color w:val="000000"/>
          <w:kern w:val="0"/>
          <w:sz w:val="32"/>
          <w:szCs w:val="32"/>
          <w:lang w:val="en-US" w:eastAsia="zh-CN"/>
        </w:rPr>
        <w:t xml:space="preserve"> 本办法自发布之日起施行，原《专业学位研究生校外导师遴选与管理办法》（校字〔2014〕63号）、《安徽建筑大学硕士研究生指导教师遴选与复审办法》（校字〔2019〕6号）、《安徽建筑大学硕士研究生指导教师遴选与复审办法的补充规定》（校字〔2022〕45号）同时废止，由研究生院负责解释。</w:t>
      </w:r>
    </w:p>
    <w:p w14:paraId="4FB933E3">
      <w:pPr>
        <w:spacing w:line="560" w:lineRule="exact"/>
        <w:ind w:firstLine="640" w:firstLineChars="200"/>
        <w:rPr>
          <w:rFonts w:hint="eastAsia" w:ascii="仿宋_GB2312" w:hAnsi="仿宋_GB2312" w:cs="仿宋_GB2312"/>
          <w:lang w:val="en-US" w:eastAsia="zh-CN"/>
        </w:rPr>
      </w:pPr>
    </w:p>
    <w:p w14:paraId="21E33AA3">
      <w:pPr>
        <w:spacing w:line="560" w:lineRule="exact"/>
        <w:ind w:firstLine="640" w:firstLineChars="200"/>
        <w:rPr>
          <w:rFonts w:hint="default" w:ascii="仿宋_GB2312" w:hAnsi="仿宋_GB2312" w:cs="仿宋_GB2312"/>
          <w:lang w:val="en-US" w:eastAsia="zh-CN"/>
        </w:rPr>
      </w:pPr>
    </w:p>
    <w:bookmarkEnd w:id="3"/>
    <w:p w14:paraId="5DAE3157">
      <w:pPr>
        <w:widowControl/>
        <w:ind w:firstLine="320" w:firstLineChars="100"/>
        <w:jc w:val="left"/>
        <w:rPr>
          <w:rFonts w:ascii="仿宋_GB2312" w:hAnsi="宋体" w:cs="宋体"/>
          <w:kern w:val="0"/>
          <w:szCs w:val="32"/>
        </w:rPr>
      </w:pPr>
      <w:r>
        <w:rPr>
          <w:rFonts w:hint="eastAsia" w:ascii="仿宋_GB2312" w:hAnsi="宋体" w:cs="宋体"/>
          <w:kern w:val="0"/>
          <w:szCs w:val="32"/>
        </w:rPr>
        <w:t xml:space="preserve"> </w:t>
      </w:r>
      <w:r>
        <w:rPr>
          <w:rFonts w:ascii="仿宋_GB2312" w:hAnsi="宋体" w:cs="宋体"/>
          <w:kern w:val="0"/>
          <w:szCs w:val="32"/>
        </w:rPr>
        <w:t xml:space="preserve">  </w:t>
      </w:r>
    </w:p>
    <w:p w14:paraId="7EA7C220">
      <w:pPr>
        <w:widowControl/>
        <w:shd w:val="clear" w:color="auto" w:fill="FFFFFF"/>
        <w:spacing w:line="560" w:lineRule="exact"/>
        <w:jc w:val="left"/>
        <w:rPr>
          <w:rFonts w:ascii="仿宋_GB2312" w:hAnsi="微软雅黑" w:cs="仿宋_GB2312"/>
          <w:kern w:val="0"/>
          <w:szCs w:val="32"/>
          <w:shd w:val="clear" w:color="auto" w:fill="FFFFFF"/>
          <w:lang w:bidi="ar"/>
        </w:rPr>
      </w:pPr>
    </w:p>
    <w:p w14:paraId="04CF3892">
      <w:pPr>
        <w:widowControl/>
        <w:shd w:val="clear" w:color="auto" w:fill="FFFFFF"/>
        <w:spacing w:line="560" w:lineRule="exact"/>
        <w:jc w:val="left"/>
        <w:rPr>
          <w:rFonts w:ascii="仿宋_GB2312" w:hAnsi="微软雅黑" w:cs="仿宋_GB2312"/>
          <w:kern w:val="0"/>
          <w:szCs w:val="32"/>
          <w:shd w:val="clear" w:color="auto" w:fill="FFFFFF"/>
          <w:lang w:bidi="ar"/>
        </w:rPr>
      </w:pPr>
    </w:p>
    <w:p w14:paraId="1CB9DEBB">
      <w:pPr>
        <w:widowControl/>
        <w:shd w:val="clear" w:color="auto" w:fill="FFFFFF"/>
        <w:spacing w:line="560" w:lineRule="exact"/>
        <w:jc w:val="left"/>
        <w:rPr>
          <w:rFonts w:ascii="仿宋_GB2312" w:hAnsi="微软雅黑" w:cs="仿宋_GB2312"/>
          <w:kern w:val="0"/>
          <w:szCs w:val="32"/>
          <w:shd w:val="clear" w:color="auto" w:fill="FFFFFF"/>
          <w:lang w:bidi="ar"/>
        </w:rPr>
      </w:pPr>
    </w:p>
    <w:p w14:paraId="21A26D6C">
      <w:pPr>
        <w:widowControl/>
        <w:shd w:val="clear" w:color="auto" w:fill="FFFFFF"/>
        <w:spacing w:line="560" w:lineRule="exact"/>
        <w:jc w:val="left"/>
        <w:rPr>
          <w:rFonts w:ascii="仿宋_GB2312" w:hAnsi="微软雅黑" w:cs="仿宋_GB2312"/>
          <w:kern w:val="0"/>
          <w:szCs w:val="32"/>
          <w:shd w:val="clear" w:color="auto" w:fill="FFFFFF"/>
          <w:lang w:bidi="ar"/>
        </w:rPr>
      </w:pPr>
    </w:p>
    <w:p w14:paraId="6F4C98A1">
      <w:pPr>
        <w:widowControl/>
        <w:shd w:val="clear" w:color="auto" w:fill="FFFFFF"/>
        <w:spacing w:line="560" w:lineRule="exact"/>
        <w:jc w:val="left"/>
        <w:rPr>
          <w:rFonts w:ascii="仿宋_GB2312" w:hAnsi="微软雅黑" w:cs="仿宋_GB2312"/>
          <w:kern w:val="0"/>
          <w:szCs w:val="32"/>
          <w:shd w:val="clear" w:color="auto" w:fill="FFFFFF"/>
          <w:lang w:bidi="ar"/>
        </w:rPr>
      </w:pPr>
    </w:p>
    <w:p w14:paraId="688854DE">
      <w:pPr>
        <w:widowControl/>
        <w:shd w:val="clear" w:color="auto" w:fill="FFFFFF"/>
        <w:spacing w:line="560" w:lineRule="exact"/>
        <w:jc w:val="left"/>
        <w:rPr>
          <w:rFonts w:ascii="仿宋_GB2312" w:hAnsi="微软雅黑" w:cs="仿宋_GB2312"/>
          <w:kern w:val="0"/>
          <w:szCs w:val="32"/>
          <w:shd w:val="clear" w:color="auto" w:fill="FFFFFF"/>
          <w:lang w:bidi="ar"/>
        </w:rPr>
      </w:pPr>
    </w:p>
    <w:p w14:paraId="512CB691">
      <w:pPr>
        <w:widowControl/>
        <w:shd w:val="clear" w:color="auto" w:fill="FFFFFF"/>
        <w:spacing w:line="560" w:lineRule="exact"/>
        <w:jc w:val="left"/>
        <w:rPr>
          <w:rFonts w:ascii="仿宋_GB2312" w:hAnsi="微软雅黑" w:cs="仿宋_GB2312"/>
          <w:kern w:val="0"/>
          <w:szCs w:val="32"/>
          <w:shd w:val="clear" w:color="auto" w:fill="FFFFFF"/>
          <w:lang w:bidi="ar"/>
        </w:rPr>
      </w:pPr>
    </w:p>
    <w:p w14:paraId="3B64C46C">
      <w:pPr>
        <w:widowControl/>
        <w:shd w:val="clear" w:color="auto" w:fill="FFFFFF"/>
        <w:spacing w:line="560" w:lineRule="exact"/>
        <w:jc w:val="left"/>
        <w:rPr>
          <w:rFonts w:ascii="仿宋_GB2312" w:hAnsi="微软雅黑" w:cs="仿宋_GB2312"/>
          <w:kern w:val="0"/>
          <w:szCs w:val="32"/>
          <w:shd w:val="clear" w:color="auto" w:fill="FFFFFF"/>
          <w:lang w:bidi="ar"/>
        </w:rPr>
      </w:pPr>
    </w:p>
    <w:p w14:paraId="440639A7">
      <w:pPr>
        <w:widowControl/>
        <w:shd w:val="clear" w:color="auto" w:fill="FFFFFF"/>
        <w:spacing w:line="560" w:lineRule="exact"/>
        <w:jc w:val="left"/>
        <w:rPr>
          <w:rFonts w:ascii="仿宋_GB2312" w:hAnsi="微软雅黑" w:cs="仿宋_GB2312"/>
          <w:kern w:val="0"/>
          <w:szCs w:val="32"/>
          <w:shd w:val="clear" w:color="auto" w:fill="FFFFFF"/>
          <w:lang w:bidi="ar"/>
        </w:rPr>
      </w:pPr>
    </w:p>
    <w:p w14:paraId="3DDE9FD9">
      <w:pPr>
        <w:widowControl/>
        <w:shd w:val="clear" w:color="auto" w:fill="FFFFFF"/>
        <w:spacing w:line="560" w:lineRule="exact"/>
        <w:jc w:val="left"/>
        <w:rPr>
          <w:rFonts w:ascii="仿宋_GB2312" w:hAnsi="微软雅黑" w:cs="仿宋_GB2312"/>
          <w:kern w:val="0"/>
          <w:szCs w:val="32"/>
          <w:shd w:val="clear" w:color="auto" w:fill="FFFFFF"/>
          <w:lang w:bidi="ar"/>
        </w:rPr>
      </w:pPr>
    </w:p>
    <w:p w14:paraId="20A71C0E">
      <w:pPr>
        <w:widowControl/>
        <w:shd w:val="clear" w:color="auto" w:fill="FFFFFF"/>
        <w:spacing w:line="560" w:lineRule="exact"/>
        <w:jc w:val="left"/>
        <w:rPr>
          <w:rFonts w:ascii="仿宋_GB2312" w:hAnsi="微软雅黑" w:cs="仿宋_GB2312"/>
          <w:kern w:val="0"/>
          <w:szCs w:val="32"/>
          <w:shd w:val="clear" w:color="auto" w:fill="FFFFFF"/>
          <w:lang w:bidi="ar"/>
        </w:rPr>
      </w:pPr>
    </w:p>
    <w:p w14:paraId="343642AE">
      <w:pPr>
        <w:pStyle w:val="2"/>
        <w:rPr>
          <w:rFonts w:ascii="仿宋_GB2312" w:hAnsi="微软雅黑" w:cs="仿宋_GB2312"/>
          <w:kern w:val="0"/>
          <w:szCs w:val="32"/>
          <w:shd w:val="clear" w:color="auto" w:fill="FFFFFF"/>
          <w:lang w:bidi="ar"/>
        </w:rPr>
      </w:pPr>
    </w:p>
    <w:p w14:paraId="769C9079">
      <w:pPr>
        <w:rPr>
          <w:rFonts w:ascii="仿宋_GB2312" w:hAnsi="微软雅黑" w:cs="仿宋_GB2312"/>
          <w:kern w:val="0"/>
          <w:szCs w:val="32"/>
          <w:shd w:val="clear" w:color="auto" w:fill="FFFFFF"/>
          <w:lang w:bidi="ar"/>
        </w:rPr>
      </w:pPr>
    </w:p>
    <w:p w14:paraId="29DD4881">
      <w:pPr>
        <w:pStyle w:val="2"/>
        <w:rPr>
          <w:rFonts w:ascii="仿宋_GB2312" w:hAnsi="微软雅黑" w:cs="仿宋_GB2312"/>
          <w:kern w:val="0"/>
          <w:szCs w:val="32"/>
          <w:shd w:val="clear" w:color="auto" w:fill="FFFFFF"/>
          <w:lang w:bidi="ar"/>
        </w:rPr>
      </w:pPr>
    </w:p>
    <w:p w14:paraId="6A508D0C">
      <w:pPr>
        <w:rPr>
          <w:rFonts w:ascii="仿宋_GB2312" w:hAnsi="微软雅黑" w:cs="仿宋_GB2312"/>
          <w:kern w:val="0"/>
          <w:szCs w:val="32"/>
          <w:shd w:val="clear" w:color="auto" w:fill="FFFFFF"/>
          <w:lang w:bidi="ar"/>
        </w:rPr>
      </w:pPr>
    </w:p>
    <w:p w14:paraId="316C667A">
      <w:pPr>
        <w:pStyle w:val="2"/>
        <w:rPr>
          <w:rFonts w:ascii="仿宋_GB2312" w:hAnsi="微软雅黑" w:cs="仿宋_GB2312"/>
          <w:kern w:val="0"/>
          <w:szCs w:val="32"/>
          <w:shd w:val="clear" w:color="auto" w:fill="FFFFFF"/>
          <w:lang w:bidi="ar"/>
        </w:rPr>
      </w:pPr>
    </w:p>
    <w:p w14:paraId="3DABA968">
      <w:pPr>
        <w:pStyle w:val="2"/>
        <w:jc w:val="both"/>
      </w:pPr>
    </w:p>
    <w:p w14:paraId="45EBFEDB">
      <w:pPr>
        <w:widowControl/>
        <w:shd w:val="clear" w:color="auto" w:fill="FFFFFF"/>
        <w:spacing w:line="560" w:lineRule="exact"/>
        <w:jc w:val="left"/>
        <w:rPr>
          <w:rFonts w:ascii="仿宋_GB2312" w:hAnsi="微软雅黑" w:cs="仿宋_GB2312"/>
          <w:kern w:val="0"/>
          <w:szCs w:val="32"/>
          <w:shd w:val="clear" w:color="auto" w:fill="FFFFFF"/>
          <w:lang w:bidi="ar"/>
        </w:rPr>
      </w:pPr>
    </w:p>
    <w:p w14:paraId="099CF320">
      <w:pPr>
        <w:pBdr>
          <w:top w:val="single" w:color="auto" w:sz="4" w:space="0"/>
          <w:bottom w:val="single" w:color="auto" w:sz="4" w:space="0"/>
        </w:pBdr>
        <w:spacing w:line="560" w:lineRule="exact"/>
        <w:ind w:firstLine="320" w:firstLineChars="100"/>
        <w:rPr>
          <w:rFonts w:ascii="仿宋_GB2312" w:hAnsi="宋体" w:cs="宋体"/>
          <w:kern w:val="0"/>
          <w:szCs w:val="32"/>
        </w:rPr>
      </w:pPr>
      <w:r>
        <w:rPr>
          <w:rFonts w:hint="eastAsia" w:ascii="仿宋_GB2312" w:hAnsi="宋体" w:cs="宋体"/>
          <w:kern w:val="0"/>
          <w:szCs w:val="32"/>
        </w:rPr>
        <w:t xml:space="preserve">安徽建筑大学               </w:t>
      </w:r>
      <w:bookmarkStart w:id="8" w:name="PO_FORMATION_DATE"/>
      <w:r>
        <w:rPr>
          <w:rFonts w:hint="eastAsia" w:ascii="仿宋_GB2312" w:hAnsi="宋体" w:cs="宋体"/>
          <w:kern w:val="0"/>
          <w:szCs w:val="32"/>
          <w:lang w:eastAsia="zh-CN"/>
        </w:rPr>
        <w:t>2025年4月22日</w:t>
      </w:r>
      <w:bookmarkEnd w:id="8"/>
      <w:r>
        <w:rPr>
          <w:rFonts w:hint="eastAsia" w:ascii="仿宋_GB2312" w:hAnsi="宋体" w:cs="宋体"/>
          <w:kern w:val="0"/>
          <w:szCs w:val="32"/>
        </w:rPr>
        <w:t>印发</w:t>
      </w:r>
    </w:p>
    <w:p w14:paraId="6527C4C0">
      <w:pPr>
        <w:pBdr>
          <w:bottom w:val="single" w:color="auto" w:sz="4" w:space="0"/>
        </w:pBdr>
        <w:spacing w:line="560" w:lineRule="exact"/>
        <w:ind w:firstLine="320" w:firstLineChars="100"/>
      </w:pPr>
      <w:r>
        <w:rPr>
          <w:rFonts w:hint="eastAsia" w:ascii="仿宋_GB2312" w:hAnsi="宋体" w:cs="宋体"/>
          <w:kern w:val="0"/>
          <w:szCs w:val="32"/>
        </w:rPr>
        <w:t>打印：</w:t>
      </w:r>
      <w:bookmarkStart w:id="9" w:name="PO_YL02"/>
      <w:r>
        <w:rPr>
          <w:rFonts w:hint="eastAsia" w:ascii="仿宋_GB2312" w:hAnsi="宋体" w:cs="宋体"/>
          <w:kern w:val="0"/>
          <w:szCs w:val="32"/>
          <w:lang w:eastAsia="zh-CN"/>
        </w:rPr>
        <w:t>吴娟</w:t>
      </w:r>
      <w:bookmarkEnd w:id="9"/>
      <w:r>
        <w:rPr>
          <w:rFonts w:hint="eastAsia" w:ascii="仿宋_GB2312" w:hAnsi="宋体" w:cs="宋体"/>
          <w:kern w:val="0"/>
          <w:szCs w:val="32"/>
        </w:rPr>
        <w:t xml:space="preserve">        校对：</w:t>
      </w:r>
      <w:bookmarkStart w:id="10" w:name="PO_CHECK_NAME"/>
      <w:r>
        <w:rPr>
          <w:rFonts w:hint="eastAsia" w:ascii="仿宋_GB2312" w:hAnsi="宋体" w:cs="宋体"/>
          <w:kern w:val="0"/>
          <w:szCs w:val="32"/>
          <w:lang w:eastAsia="zh-CN"/>
        </w:rPr>
        <w:t>黄俊</w:t>
      </w:r>
      <w:bookmarkEnd w:id="10"/>
      <w:r>
        <w:rPr>
          <w:rFonts w:hint="eastAsia" w:ascii="仿宋_GB2312" w:hAnsi="宋体" w:cs="宋体"/>
          <w:kern w:val="0"/>
          <w:szCs w:val="32"/>
        </w:rPr>
        <w:t xml:space="preserve">         </w:t>
      </w:r>
      <w:r>
        <w:rPr>
          <w:rFonts w:hint="eastAsia" w:ascii="仿宋_GB2312" w:hAnsi="宋体" w:cs="宋体"/>
          <w:kern w:val="0"/>
          <w:szCs w:val="32"/>
          <w:lang w:val="en-US" w:eastAsia="zh-CN"/>
        </w:rPr>
        <w:t xml:space="preserve"> </w:t>
      </w:r>
      <w:bookmarkStart w:id="12" w:name="_GoBack"/>
      <w:bookmarkEnd w:id="12"/>
      <w:r>
        <w:rPr>
          <w:rFonts w:hint="eastAsia" w:ascii="仿宋_GB2312" w:hAnsi="宋体" w:cs="宋体"/>
          <w:kern w:val="0"/>
          <w:szCs w:val="32"/>
        </w:rPr>
        <w:t xml:space="preserve">共印 </w:t>
      </w:r>
      <w:bookmarkStart w:id="11" w:name="PO_YL01"/>
      <w:r>
        <w:rPr>
          <w:rFonts w:hint="eastAsia" w:ascii="仿宋_GB2312" w:hAnsi="宋体" w:cs="宋体"/>
          <w:kern w:val="0"/>
          <w:szCs w:val="32"/>
          <w:lang w:eastAsia="zh-CN"/>
        </w:rPr>
        <w:t>6</w:t>
      </w:r>
      <w:bookmarkEnd w:id="11"/>
      <w:r>
        <w:rPr>
          <w:rFonts w:hint="eastAsia" w:ascii="仿宋_GB2312" w:hAnsi="宋体" w:cs="宋体"/>
          <w:kern w:val="0"/>
          <w:szCs w:val="32"/>
        </w:rPr>
        <w:t>份</w:t>
      </w:r>
    </w:p>
    <w:p w14:paraId="41B3E772"/>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0850E">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1BED7">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C1BED7">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993"/>
    <w:rsid w:val="00002188"/>
    <w:rsid w:val="000114FF"/>
    <w:rsid w:val="0003072F"/>
    <w:rsid w:val="00056974"/>
    <w:rsid w:val="00060E85"/>
    <w:rsid w:val="00067CF9"/>
    <w:rsid w:val="00076F72"/>
    <w:rsid w:val="00093D54"/>
    <w:rsid w:val="000C044C"/>
    <w:rsid w:val="000D11F9"/>
    <w:rsid w:val="000D2780"/>
    <w:rsid w:val="000D352A"/>
    <w:rsid w:val="000D3D48"/>
    <w:rsid w:val="000D6AB5"/>
    <w:rsid w:val="000E5F14"/>
    <w:rsid w:val="0011677E"/>
    <w:rsid w:val="00127D20"/>
    <w:rsid w:val="0015405C"/>
    <w:rsid w:val="001638E9"/>
    <w:rsid w:val="0016654D"/>
    <w:rsid w:val="00173302"/>
    <w:rsid w:val="0018073B"/>
    <w:rsid w:val="001B60E5"/>
    <w:rsid w:val="001C22E5"/>
    <w:rsid w:val="001D124F"/>
    <w:rsid w:val="001E44DA"/>
    <w:rsid w:val="001E4D0B"/>
    <w:rsid w:val="001E7A95"/>
    <w:rsid w:val="002043FF"/>
    <w:rsid w:val="00210E34"/>
    <w:rsid w:val="00211C6C"/>
    <w:rsid w:val="002128FB"/>
    <w:rsid w:val="00224785"/>
    <w:rsid w:val="00245FCD"/>
    <w:rsid w:val="00253D7F"/>
    <w:rsid w:val="00255E87"/>
    <w:rsid w:val="00264DAC"/>
    <w:rsid w:val="00266691"/>
    <w:rsid w:val="002765D7"/>
    <w:rsid w:val="00295A01"/>
    <w:rsid w:val="002A41D0"/>
    <w:rsid w:val="002B109A"/>
    <w:rsid w:val="002B1557"/>
    <w:rsid w:val="002B43B5"/>
    <w:rsid w:val="002D6E82"/>
    <w:rsid w:val="002F6438"/>
    <w:rsid w:val="00304A6D"/>
    <w:rsid w:val="00323442"/>
    <w:rsid w:val="00332944"/>
    <w:rsid w:val="003545AD"/>
    <w:rsid w:val="00355C98"/>
    <w:rsid w:val="003606E3"/>
    <w:rsid w:val="00374EDC"/>
    <w:rsid w:val="00384BA5"/>
    <w:rsid w:val="003912CF"/>
    <w:rsid w:val="003A58ED"/>
    <w:rsid w:val="003A6E80"/>
    <w:rsid w:val="003B20B0"/>
    <w:rsid w:val="003B6FF1"/>
    <w:rsid w:val="003C70C6"/>
    <w:rsid w:val="003D4F02"/>
    <w:rsid w:val="003E18ED"/>
    <w:rsid w:val="003F3DD0"/>
    <w:rsid w:val="00405734"/>
    <w:rsid w:val="004345C2"/>
    <w:rsid w:val="004601AE"/>
    <w:rsid w:val="004625B3"/>
    <w:rsid w:val="00473C33"/>
    <w:rsid w:val="00475AAF"/>
    <w:rsid w:val="004774CA"/>
    <w:rsid w:val="00490010"/>
    <w:rsid w:val="00497FE9"/>
    <w:rsid w:val="004C1880"/>
    <w:rsid w:val="004D04AD"/>
    <w:rsid w:val="004D482A"/>
    <w:rsid w:val="004D5BFF"/>
    <w:rsid w:val="004D786C"/>
    <w:rsid w:val="004E0773"/>
    <w:rsid w:val="004E4524"/>
    <w:rsid w:val="004E6D90"/>
    <w:rsid w:val="005067CA"/>
    <w:rsid w:val="00511465"/>
    <w:rsid w:val="005259B5"/>
    <w:rsid w:val="00531072"/>
    <w:rsid w:val="00535F96"/>
    <w:rsid w:val="005503FC"/>
    <w:rsid w:val="0057215B"/>
    <w:rsid w:val="00596CE7"/>
    <w:rsid w:val="005A0EBA"/>
    <w:rsid w:val="005A6A9E"/>
    <w:rsid w:val="005B15DC"/>
    <w:rsid w:val="005C4A8E"/>
    <w:rsid w:val="005C71E8"/>
    <w:rsid w:val="005D31D8"/>
    <w:rsid w:val="005E157C"/>
    <w:rsid w:val="00602C12"/>
    <w:rsid w:val="006411C4"/>
    <w:rsid w:val="0064649A"/>
    <w:rsid w:val="00652C20"/>
    <w:rsid w:val="00654404"/>
    <w:rsid w:val="006602EF"/>
    <w:rsid w:val="006637E4"/>
    <w:rsid w:val="006A688E"/>
    <w:rsid w:val="006B2767"/>
    <w:rsid w:val="006B29B1"/>
    <w:rsid w:val="006C1A76"/>
    <w:rsid w:val="006C1B03"/>
    <w:rsid w:val="006F2F14"/>
    <w:rsid w:val="006F684D"/>
    <w:rsid w:val="00705146"/>
    <w:rsid w:val="00716F6F"/>
    <w:rsid w:val="007270A6"/>
    <w:rsid w:val="00731FCE"/>
    <w:rsid w:val="00734A31"/>
    <w:rsid w:val="0074167C"/>
    <w:rsid w:val="00743051"/>
    <w:rsid w:val="00750EA1"/>
    <w:rsid w:val="00755C16"/>
    <w:rsid w:val="00767256"/>
    <w:rsid w:val="00770995"/>
    <w:rsid w:val="007A617A"/>
    <w:rsid w:val="007A6637"/>
    <w:rsid w:val="007A7C62"/>
    <w:rsid w:val="007B18E7"/>
    <w:rsid w:val="007B44A2"/>
    <w:rsid w:val="007B63D8"/>
    <w:rsid w:val="007C2928"/>
    <w:rsid w:val="007D30E3"/>
    <w:rsid w:val="007E00B2"/>
    <w:rsid w:val="008057E2"/>
    <w:rsid w:val="0082658F"/>
    <w:rsid w:val="00830DB6"/>
    <w:rsid w:val="00841A89"/>
    <w:rsid w:val="00850DA4"/>
    <w:rsid w:val="00851043"/>
    <w:rsid w:val="00856C0E"/>
    <w:rsid w:val="00860485"/>
    <w:rsid w:val="00866DFB"/>
    <w:rsid w:val="008675FB"/>
    <w:rsid w:val="008A3811"/>
    <w:rsid w:val="008A676D"/>
    <w:rsid w:val="008C4738"/>
    <w:rsid w:val="008E20F8"/>
    <w:rsid w:val="00904598"/>
    <w:rsid w:val="00962726"/>
    <w:rsid w:val="0099104B"/>
    <w:rsid w:val="009936F7"/>
    <w:rsid w:val="00994B43"/>
    <w:rsid w:val="009A4544"/>
    <w:rsid w:val="009B6C5F"/>
    <w:rsid w:val="009D3697"/>
    <w:rsid w:val="009D76BE"/>
    <w:rsid w:val="009E5347"/>
    <w:rsid w:val="009E7533"/>
    <w:rsid w:val="009E7905"/>
    <w:rsid w:val="00A06A32"/>
    <w:rsid w:val="00A13ADA"/>
    <w:rsid w:val="00A15DC7"/>
    <w:rsid w:val="00A23742"/>
    <w:rsid w:val="00A3744C"/>
    <w:rsid w:val="00A52D6F"/>
    <w:rsid w:val="00A62E63"/>
    <w:rsid w:val="00A71A37"/>
    <w:rsid w:val="00AA7619"/>
    <w:rsid w:val="00AB3A19"/>
    <w:rsid w:val="00AB4646"/>
    <w:rsid w:val="00AB7E08"/>
    <w:rsid w:val="00AC1AC2"/>
    <w:rsid w:val="00AD2F96"/>
    <w:rsid w:val="00AE11BB"/>
    <w:rsid w:val="00AF4DAD"/>
    <w:rsid w:val="00B05091"/>
    <w:rsid w:val="00B11060"/>
    <w:rsid w:val="00B233D9"/>
    <w:rsid w:val="00B46335"/>
    <w:rsid w:val="00B51CC3"/>
    <w:rsid w:val="00B70EF9"/>
    <w:rsid w:val="00B80F7D"/>
    <w:rsid w:val="00B810FF"/>
    <w:rsid w:val="00B850AF"/>
    <w:rsid w:val="00B93770"/>
    <w:rsid w:val="00BA0880"/>
    <w:rsid w:val="00BC1099"/>
    <w:rsid w:val="00BD10FE"/>
    <w:rsid w:val="00BD29F1"/>
    <w:rsid w:val="00BE3F84"/>
    <w:rsid w:val="00BF0E8D"/>
    <w:rsid w:val="00C018FA"/>
    <w:rsid w:val="00C03E23"/>
    <w:rsid w:val="00C07B12"/>
    <w:rsid w:val="00C13879"/>
    <w:rsid w:val="00C258D0"/>
    <w:rsid w:val="00C2671F"/>
    <w:rsid w:val="00C31417"/>
    <w:rsid w:val="00C379DD"/>
    <w:rsid w:val="00C43128"/>
    <w:rsid w:val="00C61C52"/>
    <w:rsid w:val="00C630FE"/>
    <w:rsid w:val="00C642FD"/>
    <w:rsid w:val="00C87FE7"/>
    <w:rsid w:val="00CB4CC0"/>
    <w:rsid w:val="00CB5D01"/>
    <w:rsid w:val="00CD1FEB"/>
    <w:rsid w:val="00CD59A5"/>
    <w:rsid w:val="00CD787D"/>
    <w:rsid w:val="00CE5546"/>
    <w:rsid w:val="00CE7EC3"/>
    <w:rsid w:val="00D050B6"/>
    <w:rsid w:val="00D06142"/>
    <w:rsid w:val="00D07DA6"/>
    <w:rsid w:val="00D11AB8"/>
    <w:rsid w:val="00D46458"/>
    <w:rsid w:val="00D678AD"/>
    <w:rsid w:val="00D7732A"/>
    <w:rsid w:val="00D921F0"/>
    <w:rsid w:val="00D92738"/>
    <w:rsid w:val="00DB1D3F"/>
    <w:rsid w:val="00DB5BE7"/>
    <w:rsid w:val="00DC1FA0"/>
    <w:rsid w:val="00DC7181"/>
    <w:rsid w:val="00DD4BD6"/>
    <w:rsid w:val="00DE6CC2"/>
    <w:rsid w:val="00DF0258"/>
    <w:rsid w:val="00DF1101"/>
    <w:rsid w:val="00E200FE"/>
    <w:rsid w:val="00E22DB4"/>
    <w:rsid w:val="00E244D7"/>
    <w:rsid w:val="00E30495"/>
    <w:rsid w:val="00E32291"/>
    <w:rsid w:val="00E357E3"/>
    <w:rsid w:val="00E4453D"/>
    <w:rsid w:val="00E47993"/>
    <w:rsid w:val="00E61D13"/>
    <w:rsid w:val="00E62B0B"/>
    <w:rsid w:val="00E74A66"/>
    <w:rsid w:val="00E837B9"/>
    <w:rsid w:val="00E94EF3"/>
    <w:rsid w:val="00EA7E73"/>
    <w:rsid w:val="00EB210E"/>
    <w:rsid w:val="00EB35DE"/>
    <w:rsid w:val="00EB6EE3"/>
    <w:rsid w:val="00EB702F"/>
    <w:rsid w:val="00EC01C7"/>
    <w:rsid w:val="00EC6628"/>
    <w:rsid w:val="00EC6DE7"/>
    <w:rsid w:val="00EF3882"/>
    <w:rsid w:val="00EF451F"/>
    <w:rsid w:val="00F04ACC"/>
    <w:rsid w:val="00F0740D"/>
    <w:rsid w:val="00F304DD"/>
    <w:rsid w:val="00F644E8"/>
    <w:rsid w:val="00F732E5"/>
    <w:rsid w:val="00F97333"/>
    <w:rsid w:val="00FB66D7"/>
    <w:rsid w:val="00FD4849"/>
    <w:rsid w:val="00FF0BA5"/>
    <w:rsid w:val="00FF2694"/>
    <w:rsid w:val="00FF4518"/>
    <w:rsid w:val="00FF4DF2"/>
    <w:rsid w:val="00FF609A"/>
    <w:rsid w:val="00FF6BCF"/>
    <w:rsid w:val="00FF7C63"/>
    <w:rsid w:val="04E44207"/>
    <w:rsid w:val="088E6450"/>
    <w:rsid w:val="1FC55C88"/>
    <w:rsid w:val="2C271F52"/>
    <w:rsid w:val="43833B0C"/>
    <w:rsid w:val="49872FEE"/>
    <w:rsid w:val="5BA85632"/>
    <w:rsid w:val="7A8809D5"/>
    <w:rsid w:val="7B3F7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2"/>
      <w:lang w:val="en-US" w:eastAsia="zh-CN" w:bidi="ar-SA"/>
    </w:rPr>
  </w:style>
  <w:style w:type="paragraph" w:styleId="3">
    <w:name w:val="heading 1"/>
    <w:basedOn w:val="1"/>
    <w:next w:val="1"/>
    <w:qFormat/>
    <w:uiPriority w:val="0"/>
    <w:pPr>
      <w:keepNext/>
      <w:keepLines/>
      <w:spacing w:before="120" w:after="120"/>
      <w:outlineLvl w:val="0"/>
    </w:pPr>
    <w:rPr>
      <w:rFonts w:ascii="Times New Roman" w:hAnsi="Times New Roman" w:eastAsia="黑体"/>
      <w:kern w:val="36"/>
      <w:sz w:val="36"/>
      <w:szCs w:val="20"/>
    </w:rPr>
  </w:style>
  <w:style w:type="paragraph" w:styleId="4">
    <w:name w:val="heading 2"/>
    <w:basedOn w:val="1"/>
    <w:next w:val="5"/>
    <w:qFormat/>
    <w:uiPriority w:val="0"/>
    <w:pPr>
      <w:adjustRightInd w:val="0"/>
      <w:spacing w:before="60" w:after="60"/>
      <w:outlineLvl w:val="1"/>
    </w:pPr>
    <w:rPr>
      <w:rFonts w:ascii="Arial" w:hAnsi="Arial" w:eastAsia="黑体"/>
      <w:szCs w:val="20"/>
    </w:rPr>
  </w:style>
  <w:style w:type="paragraph" w:styleId="6">
    <w:name w:val="heading 3"/>
    <w:basedOn w:val="1"/>
    <w:next w:val="5"/>
    <w:qFormat/>
    <w:uiPriority w:val="0"/>
    <w:pPr>
      <w:adjustRightInd w:val="0"/>
      <w:spacing w:before="60" w:after="60"/>
      <w:outlineLvl w:val="2"/>
    </w:pPr>
    <w:rPr>
      <w:rFonts w:ascii="Times New Roman" w:hAnsi="Times New Roman"/>
      <w:b/>
      <w:szCs w:val="20"/>
    </w:rPr>
  </w:style>
  <w:style w:type="character" w:default="1" w:styleId="13">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Title"/>
    <w:basedOn w:val="1"/>
    <w:next w:val="1"/>
    <w:link w:val="15"/>
    <w:qFormat/>
    <w:uiPriority w:val="0"/>
    <w:pPr>
      <w:spacing w:before="240" w:after="60"/>
      <w:jc w:val="center"/>
      <w:outlineLvl w:val="0"/>
    </w:pPr>
    <w:rPr>
      <w:rFonts w:ascii="Cambria" w:hAnsi="Cambria" w:eastAsia="宋体"/>
      <w:b/>
      <w:bCs/>
      <w:szCs w:val="32"/>
    </w:rPr>
  </w:style>
  <w:style w:type="paragraph" w:styleId="5">
    <w:name w:val="Normal Indent"/>
    <w:basedOn w:val="1"/>
    <w:qFormat/>
    <w:uiPriority w:val="0"/>
    <w:pPr>
      <w:ind w:firstLine="420"/>
    </w:pPr>
    <w:rPr>
      <w:rFonts w:ascii="Times New Roman" w:hAnsi="Times New Roman"/>
      <w:szCs w:val="20"/>
    </w:rPr>
  </w:style>
  <w:style w:type="paragraph" w:styleId="7">
    <w:name w:val="Document Map"/>
    <w:basedOn w:val="1"/>
    <w:semiHidden/>
    <w:qFormat/>
    <w:uiPriority w:val="0"/>
    <w:pPr>
      <w:shd w:val="clear" w:color="auto" w:fill="000080"/>
    </w:pPr>
    <w:rPr>
      <w:rFonts w:ascii="Times New Roman" w:hAnsi="Times New Roman"/>
      <w:szCs w:val="20"/>
    </w:rPr>
  </w:style>
  <w:style w:type="paragraph" w:styleId="8">
    <w:name w:val="Body Text"/>
    <w:basedOn w:val="1"/>
    <w:qFormat/>
    <w:uiPriority w:val="0"/>
    <w:pPr>
      <w:jc w:val="center"/>
    </w:pPr>
    <w:rPr>
      <w:rFonts w:ascii="方正舒体" w:hAnsi="Times New Roman"/>
      <w:b/>
      <w:color w:val="FF0000"/>
      <w:spacing w:val="80"/>
      <w:sz w:val="96"/>
      <w:szCs w:val="20"/>
    </w:rPr>
  </w:style>
  <w:style w:type="paragraph" w:styleId="9">
    <w:name w:val="Balloon Text"/>
    <w:basedOn w:val="1"/>
    <w:semiHidden/>
    <w:qFormat/>
    <w:uiPriority w:val="0"/>
    <w:rPr>
      <w:rFonts w:ascii="Times New Roman" w:hAnsi="Times New Roman"/>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tabs>
        <w:tab w:val="center" w:pos="4153"/>
        <w:tab w:val="right" w:pos="8306"/>
      </w:tabs>
      <w:snapToGrid w:val="0"/>
      <w:jc w:val="center"/>
    </w:pPr>
    <w:rPr>
      <w:rFonts w:ascii="Times New Roman" w:hAnsi="Times New Roman"/>
      <w:sz w:val="18"/>
      <w:szCs w:val="20"/>
    </w:rPr>
  </w:style>
  <w:style w:type="character" w:styleId="14">
    <w:name w:val="page number"/>
    <w:basedOn w:val="13"/>
    <w:qFormat/>
    <w:uiPriority w:val="0"/>
    <w:rPr>
      <w:rFonts w:ascii="Times New Roman" w:hAnsi="Times New Roman" w:eastAsia="宋体" w:cs="Times New Roman"/>
    </w:rPr>
  </w:style>
  <w:style w:type="character" w:customStyle="1" w:styleId="15">
    <w:name w:val="标题 Char"/>
    <w:link w:val="2"/>
    <w:qFormat/>
    <w:uiPriority w:val="0"/>
    <w:rPr>
      <w:rFonts w:ascii="Cambria" w:hAnsi="Cambria" w:eastAsia="宋体" w:cs="Times New Roman"/>
      <w:b/>
      <w:bCs/>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21335;&#24072;&#27169;&#26495;\dcwjmbwyh.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3367</Words>
  <Characters>3458</Characters>
  <Lines>1</Lines>
  <Paragraphs>1</Paragraphs>
  <TotalTime>20</TotalTime>
  <ScaleCrop>false</ScaleCrop>
  <LinksUpToDate>false</LinksUpToDate>
  <CharactersWithSpaces>3525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2021-12-14T09:16:00Z</dcterms:created>
  <dc:creator>浮城沉浮</dc:creator>
  <cp:lastModifiedBy>ztt</cp:lastModifiedBy>
  <dcterms:modified xsi:type="dcterms:W3CDTF">2025-04-22T03:53:20Z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4B28BB305CB5414C87548E0808CBC141</vt:lpwstr>
  </property>
  <property fmtid="{D5CDD505-2E9C-101B-9397-08002B2CF9AE}" pid="4" name="KSOTemplateDocerSaveRecord">
    <vt:lpwstr>eyJoZGlkIjoiYTkwNTZhNWJkMDUxMTU1ODY2OGI0YTc5OTUxMjEzOWMiLCJ1c2VySWQiOiIyNzQ3OTQxNzcifQ==</vt:lpwstr>
  </property>
</Properties>
</file>