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W w:w="9840" w:type="dxa"/>
        <w:jc w:val="center"/>
        <w:tblCellSpacing w:w="0" w:type="dxa"/>
        <w:tblLayout w:type="fixed"/>
        <w:tblCellMar>
          <w:top w:w="0" w:type="dxa"/>
          <w:left w:w="0" w:type="dxa"/>
          <w:bottom w:w="0" w:type="dxa"/>
          <w:right w:w="0" w:type="dxa"/>
        </w:tblCellMar>
      </w:tblPr>
      <w:tblGrid>
        <w:gridCol w:w="9840"/>
      </w:tblGrid>
      <w:tr w14:paraId="4E657EE2">
        <w:tblPrEx>
          <w:tblCellMar>
            <w:top w:w="0" w:type="dxa"/>
            <w:left w:w="0" w:type="dxa"/>
            <w:bottom w:w="0" w:type="dxa"/>
            <w:right w:w="0" w:type="dxa"/>
          </w:tblCellMar>
        </w:tblPrEx>
        <w:trPr>
          <w:trHeight w:val="2436" w:hRule="atLeast"/>
          <w:tblCellSpacing w:w="0" w:type="dxa"/>
          <w:jc w:val="center"/>
        </w:trPr>
        <w:tc>
          <w:tcPr>
            <w:tcW w:w="9840" w:type="dxa"/>
            <w:vAlign w:val="center"/>
          </w:tcPr>
          <w:p w14:paraId="0C691D45">
            <w:pPr>
              <w:widowControl/>
              <w:jc w:val="center"/>
              <w:rPr>
                <w:rFonts w:ascii="宋体" w:hAnsi="宋体" w:cs="宋体"/>
                <w:b/>
                <w:bCs/>
                <w:color w:val="FF0000"/>
                <w:kern w:val="0"/>
                <w:sz w:val="84"/>
              </w:rPr>
            </w:pPr>
            <w:r>
              <w:rPr>
                <w:rFonts w:ascii="宋体" w:hAnsi="宋体" w:cs="宋体"/>
                <w:b/>
                <w:bCs/>
                <w:color w:val="FF0000"/>
                <w:kern w:val="0"/>
                <w:sz w:val="84"/>
              </w:rPr>
              <w:drawing>
                <wp:inline distT="0" distB="0" distL="114300" distR="114300">
                  <wp:extent cx="5273675" cy="720090"/>
                  <wp:effectExtent l="0" t="0" r="14605" b="11430"/>
                  <wp:docPr id="1" name="图片 1" descr="建筑大学文头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建筑大学文头2-02"/>
                          <pic:cNvPicPr>
                            <a:picLocks noChangeAspect="1"/>
                          </pic:cNvPicPr>
                        </pic:nvPicPr>
                        <pic:blipFill>
                          <a:blip r:embed="rId5"/>
                          <a:stretch>
                            <a:fillRect/>
                          </a:stretch>
                        </pic:blipFill>
                        <pic:spPr>
                          <a:xfrm>
                            <a:off x="0" y="0"/>
                            <a:ext cx="5273675" cy="720090"/>
                          </a:xfrm>
                          <a:prstGeom prst="rect">
                            <a:avLst/>
                          </a:prstGeom>
                          <a:noFill/>
                          <a:ln>
                            <a:noFill/>
                          </a:ln>
                        </pic:spPr>
                      </pic:pic>
                    </a:graphicData>
                  </a:graphic>
                </wp:inline>
              </w:drawing>
            </w:r>
          </w:p>
          <w:p w14:paraId="3794A12C">
            <w:pPr>
              <w:widowControl/>
              <w:jc w:val="center"/>
              <w:rPr>
                <w:rFonts w:ascii="仿宋_GB2312"/>
                <w:szCs w:val="21"/>
              </w:rPr>
            </w:pPr>
            <w:bookmarkStart w:id="0" w:name="文件编号"/>
          </w:p>
          <w:bookmarkEnd w:id="0"/>
          <w:p w14:paraId="5BF7D9A5">
            <w:pPr>
              <w:widowControl/>
              <w:jc w:val="center"/>
              <w:rPr>
                <w:rFonts w:hint="eastAsia" w:ascii="宋体" w:hAnsi="宋体" w:eastAsia="仿宋_GB2312" w:cs="宋体"/>
                <w:kern w:val="0"/>
                <w:sz w:val="18"/>
                <w:szCs w:val="18"/>
                <w:lang w:eastAsia="zh-CN"/>
              </w:rPr>
            </w:pPr>
            <w:bookmarkStart w:id="1" w:name="PO_FILE_NO"/>
            <w:r>
              <w:rPr>
                <w:rFonts w:hint="eastAsia" w:ascii="仿宋_GB2312"/>
                <w:szCs w:val="32"/>
                <w:lang w:eastAsia="zh-CN"/>
              </w:rPr>
              <w:t>校字〔2025〕</w:t>
            </w:r>
            <w:r>
              <w:rPr>
                <w:rFonts w:hint="eastAsia" w:ascii="仿宋_GB2312"/>
                <w:szCs w:val="32"/>
                <w:lang w:val="en-US" w:eastAsia="zh-CN"/>
              </w:rPr>
              <w:t>31</w:t>
            </w:r>
            <w:r>
              <w:rPr>
                <w:rFonts w:hint="eastAsia" w:ascii="仿宋_GB2312"/>
                <w:szCs w:val="32"/>
                <w:lang w:eastAsia="zh-CN"/>
              </w:rPr>
              <w:t>号</w:t>
            </w:r>
            <w:bookmarkEnd w:id="1"/>
          </w:p>
        </w:tc>
      </w:tr>
      <w:tr w14:paraId="6A2B7FA6">
        <w:tblPrEx>
          <w:tblCellMar>
            <w:top w:w="0" w:type="dxa"/>
            <w:left w:w="0" w:type="dxa"/>
            <w:bottom w:w="0" w:type="dxa"/>
            <w:right w:w="0" w:type="dxa"/>
          </w:tblCellMar>
        </w:tblPrEx>
        <w:trPr>
          <w:trHeight w:val="406" w:hRule="atLeast"/>
          <w:tblCellSpacing w:w="0" w:type="dxa"/>
          <w:jc w:val="center"/>
        </w:trPr>
        <w:tc>
          <w:tcPr>
            <w:tcW w:w="9840" w:type="dxa"/>
            <w:vAlign w:val="center"/>
          </w:tcPr>
          <w:p w14:paraId="26C18C2E">
            <w:pPr>
              <w:widowControl/>
              <w:jc w:val="right"/>
              <w:rPr>
                <w:rFonts w:ascii="宋体" w:hAnsi="宋体" w:cs="宋体"/>
                <w:kern w:val="0"/>
                <w:sz w:val="18"/>
                <w:szCs w:val="18"/>
              </w:rPr>
            </w:pPr>
            <w:r>
              <w:rPr>
                <w:rFonts w:ascii="宋体" w:hAnsi="宋体" w:cs="宋体"/>
                <w:kern w:val="0"/>
                <w:sz w:val="18"/>
                <w:szCs w:val="18"/>
              </w:rPr>
              <w:pict>
                <v:rect id="_x0000_i1025" o:spt="1" style="height:1.5pt;width:0.05pt;" fillcolor="#FF0000" filled="t" stroked="f" coordsize="21600,21600" o:hr="t" o:hrstd="t" o:hrnoshade="t" o:hralign="center">
                  <v:path/>
                  <v:fill on="t" focussize="0,0"/>
                  <v:stroke on="f"/>
                  <v:imagedata o:title=""/>
                  <o:lock v:ext="edit"/>
                  <w10:wrap type="none"/>
                  <w10:anchorlock/>
                </v:rect>
              </w:pict>
            </w:r>
          </w:p>
        </w:tc>
      </w:tr>
    </w:tbl>
    <w:p w14:paraId="21CCF353">
      <w:pPr>
        <w:widowControl/>
        <w:shd w:val="clear" w:color="auto" w:fill="FFFFFF"/>
        <w:spacing w:line="560" w:lineRule="exact"/>
        <w:jc w:val="left"/>
        <w:rPr>
          <w:rFonts w:ascii="仿宋_GB2312" w:hAnsi="微软雅黑" w:cs="仿宋_GB2312"/>
          <w:kern w:val="0"/>
          <w:szCs w:val="32"/>
          <w:shd w:val="clear" w:color="auto" w:fill="FFFFFF"/>
          <w:lang w:bidi="ar"/>
        </w:rPr>
      </w:pPr>
    </w:p>
    <w:p w14:paraId="2A660FD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44"/>
          <w:szCs w:val="44"/>
          <w:lang w:eastAsia="zh-CN"/>
        </w:rPr>
      </w:pPr>
      <w:bookmarkStart w:id="2" w:name="PO_TITLE"/>
      <w:bookmarkStart w:id="8" w:name="_GoBack"/>
      <w:r>
        <w:rPr>
          <w:rFonts w:hint="eastAsia" w:ascii="宋体" w:hAnsi="宋体" w:eastAsia="宋体" w:cs="宋体"/>
          <w:b/>
          <w:bCs/>
          <w:sz w:val="44"/>
          <w:szCs w:val="44"/>
          <w:lang w:eastAsia="zh-CN"/>
        </w:rPr>
        <w:t>关于印发《安徽建筑大学硕士、博士学位</w:t>
      </w:r>
    </w:p>
    <w:p w14:paraId="4E9F7FD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仿宋_GB2312" w:cs="宋体"/>
          <w:b/>
          <w:bCs/>
          <w:sz w:val="44"/>
          <w:szCs w:val="44"/>
          <w:lang w:eastAsia="zh-CN"/>
        </w:rPr>
      </w:pPr>
      <w:r>
        <w:rPr>
          <w:rFonts w:hint="eastAsia" w:ascii="宋体" w:hAnsi="宋体" w:eastAsia="宋体" w:cs="宋体"/>
          <w:b/>
          <w:bCs/>
          <w:sz w:val="44"/>
          <w:szCs w:val="44"/>
          <w:lang w:eastAsia="zh-CN"/>
        </w:rPr>
        <w:t>授予工作实施细则（修订）》的通知</w:t>
      </w:r>
      <w:bookmarkEnd w:id="2"/>
    </w:p>
    <w:p w14:paraId="57F7EF8F">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_GB2312" w:hAnsi="宋体" w:cs="宋体"/>
          <w:kern w:val="0"/>
          <w:szCs w:val="32"/>
        </w:rPr>
      </w:pPr>
    </w:p>
    <w:p w14:paraId="7F6B1D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bookmarkStart w:id="3" w:name="PO_Content"/>
      <w:r>
        <w:rPr>
          <w:rFonts w:hint="eastAsia" w:ascii="仿宋_GB2312" w:hAnsi="仿宋_GB2312" w:eastAsia="仿宋_GB2312" w:cs="仿宋_GB2312"/>
          <w:sz w:val="32"/>
          <w:szCs w:val="22"/>
          <w:lang w:val="en-US" w:eastAsia="zh-CN"/>
        </w:rPr>
        <w:t>校属各单位：</w:t>
      </w:r>
    </w:p>
    <w:p w14:paraId="677F98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22"/>
          <w:lang w:val="en-US" w:eastAsia="zh-CN"/>
        </w:rPr>
      </w:pPr>
      <w:r>
        <w:rPr>
          <w:rFonts w:hint="eastAsia" w:ascii="仿宋_GB2312" w:hAnsi="仿宋_GB2312" w:eastAsia="仿宋_GB2312" w:cs="仿宋_GB2312"/>
          <w:sz w:val="32"/>
          <w:szCs w:val="22"/>
          <w:lang w:val="en-US" w:eastAsia="zh-CN"/>
        </w:rPr>
        <w:t>《安徽建筑大学硕士、博士学位授予工作实施细则（修订）》已经校长办公会议审议通过，现予印发，请遵照施行。</w:t>
      </w:r>
    </w:p>
    <w:p w14:paraId="276A2B2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p>
    <w:p w14:paraId="20605010">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lang w:val="en-US" w:eastAsia="zh-CN"/>
        </w:rPr>
      </w:pPr>
    </w:p>
    <w:p w14:paraId="42325A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32" w:rightChars="10" w:firstLine="4800" w:firstLineChars="15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安徽建筑大学</w:t>
      </w:r>
    </w:p>
    <w:p w14:paraId="413945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32" w:rightChars="10" w:firstLine="4480" w:firstLineChars="14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2025年4月27日</w:t>
      </w:r>
    </w:p>
    <w:p w14:paraId="7926FA1F">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 w:eastAsia="仿宋_GB2312" w:cs="仿宋_GB2312"/>
          <w:kern w:val="2"/>
          <w:sz w:val="32"/>
          <w:szCs w:val="32"/>
          <w:lang w:val="en-US" w:eastAsia="zh-CN" w:bidi="ar"/>
        </w:rPr>
      </w:pPr>
    </w:p>
    <w:p w14:paraId="32C11C16">
      <w:pPr>
        <w:keepNext w:val="0"/>
        <w:keepLines w:val="0"/>
        <w:pageBreakBefore w:val="0"/>
        <w:kinsoku/>
        <w:wordWrap/>
        <w:topLinePunct w:val="0"/>
        <w:bidi w:val="0"/>
        <w:spacing w:line="560" w:lineRule="exact"/>
        <w:textAlignment w:val="auto"/>
        <w:rPr>
          <w:rFonts w:hint="eastAsia" w:ascii="仿宋_GB2312" w:hAnsi="仿宋" w:eastAsia="仿宋_GB2312" w:cs="仿宋_GB2312"/>
          <w:kern w:val="2"/>
          <w:sz w:val="32"/>
          <w:szCs w:val="32"/>
          <w:lang w:val="en-US" w:eastAsia="zh-CN" w:bidi="ar"/>
        </w:rPr>
      </w:pPr>
    </w:p>
    <w:p w14:paraId="0FE0C38B">
      <w:pPr>
        <w:pStyle w:val="2"/>
        <w:keepNext w:val="0"/>
        <w:keepLines w:val="0"/>
        <w:pageBreakBefore w:val="0"/>
        <w:kinsoku/>
        <w:wordWrap/>
        <w:topLinePunct w:val="0"/>
        <w:bidi w:val="0"/>
        <w:spacing w:line="560" w:lineRule="exact"/>
        <w:textAlignment w:val="auto"/>
        <w:rPr>
          <w:rFonts w:hint="eastAsia" w:ascii="仿宋_GB2312" w:hAnsi="仿宋" w:eastAsia="仿宋_GB2312" w:cs="仿宋_GB2312"/>
          <w:kern w:val="2"/>
          <w:sz w:val="32"/>
          <w:szCs w:val="32"/>
          <w:lang w:val="en-US" w:eastAsia="zh-CN" w:bidi="ar"/>
        </w:rPr>
      </w:pPr>
    </w:p>
    <w:p w14:paraId="4B74594F">
      <w:pPr>
        <w:keepNext w:val="0"/>
        <w:keepLines w:val="0"/>
        <w:pageBreakBefore w:val="0"/>
        <w:kinsoku/>
        <w:wordWrap/>
        <w:topLinePunct w:val="0"/>
        <w:bidi w:val="0"/>
        <w:spacing w:line="560" w:lineRule="exact"/>
        <w:textAlignment w:val="auto"/>
        <w:rPr>
          <w:rFonts w:hint="eastAsia" w:ascii="仿宋_GB2312" w:hAnsi="仿宋" w:eastAsia="仿宋_GB2312" w:cs="仿宋_GB2312"/>
          <w:kern w:val="2"/>
          <w:sz w:val="32"/>
          <w:szCs w:val="32"/>
          <w:lang w:val="en-US" w:eastAsia="zh-CN" w:bidi="ar"/>
        </w:rPr>
      </w:pPr>
    </w:p>
    <w:p w14:paraId="0DA08467">
      <w:pPr>
        <w:pStyle w:val="2"/>
        <w:keepNext w:val="0"/>
        <w:keepLines w:val="0"/>
        <w:pageBreakBefore w:val="0"/>
        <w:kinsoku/>
        <w:wordWrap/>
        <w:topLinePunct w:val="0"/>
        <w:bidi w:val="0"/>
        <w:spacing w:line="560" w:lineRule="exact"/>
        <w:jc w:val="both"/>
        <w:textAlignment w:val="auto"/>
        <w:rPr>
          <w:rFonts w:hint="eastAsia"/>
          <w:lang w:val="en-US" w:eastAsia="zh-CN"/>
        </w:rPr>
      </w:pPr>
    </w:p>
    <w:p w14:paraId="1519CA52">
      <w:pPr>
        <w:keepNext w:val="0"/>
        <w:keepLines w:val="0"/>
        <w:pageBreakBefore w:val="0"/>
        <w:kinsoku/>
        <w:wordWrap/>
        <w:topLinePunct w:val="0"/>
        <w:bidi w:val="0"/>
        <w:spacing w:line="560" w:lineRule="exact"/>
        <w:textAlignment w:val="auto"/>
        <w:rPr>
          <w:rFonts w:hint="eastAsia"/>
          <w:lang w:val="en-US" w:eastAsia="zh-CN"/>
        </w:rPr>
      </w:pPr>
    </w:p>
    <w:p w14:paraId="7032F52E">
      <w:pPr>
        <w:keepNext w:val="0"/>
        <w:keepLines w:val="0"/>
        <w:pageBreakBefore w:val="0"/>
        <w:widowControl w:val="0"/>
        <w:kinsoku/>
        <w:wordWrap/>
        <w:overflowPunct/>
        <w:topLinePunct w:val="0"/>
        <w:autoSpaceDE/>
        <w:autoSpaceDN/>
        <w:bidi w:val="0"/>
        <w:adjustRightInd w:val="0"/>
        <w:snapToGrid w:val="0"/>
        <w:spacing w:line="560" w:lineRule="exact"/>
        <w:ind w:right="0"/>
        <w:jc w:val="center"/>
        <w:textAlignment w:val="auto"/>
        <w:rPr>
          <w:rFonts w:hint="eastAsia" w:ascii="宋体" w:hAnsi="宋体" w:eastAsia="宋体" w:cs="宋体"/>
          <w:b/>
          <w:color w:val="000000"/>
          <w:sz w:val="44"/>
          <w:szCs w:val="44"/>
        </w:rPr>
      </w:pPr>
      <w:r>
        <w:rPr>
          <w:rFonts w:hint="eastAsia" w:ascii="宋体" w:hAnsi="宋体" w:eastAsia="宋体" w:cs="宋体"/>
          <w:b/>
          <w:color w:val="000000"/>
          <w:sz w:val="44"/>
          <w:szCs w:val="44"/>
          <w:lang w:val="en-US" w:eastAsia="zh-CN"/>
        </w:rPr>
        <w:t>安徽建筑</w:t>
      </w:r>
      <w:r>
        <w:rPr>
          <w:rFonts w:hint="eastAsia" w:ascii="宋体" w:hAnsi="宋体" w:eastAsia="宋体" w:cs="宋体"/>
          <w:b/>
          <w:color w:val="000000"/>
          <w:sz w:val="44"/>
          <w:szCs w:val="44"/>
        </w:rPr>
        <w:t>大学</w:t>
      </w:r>
      <w:r>
        <w:rPr>
          <w:rFonts w:hint="eastAsia" w:ascii="宋体" w:hAnsi="宋体" w:eastAsia="宋体" w:cs="宋体"/>
          <w:b/>
          <w:color w:val="000000"/>
          <w:sz w:val="44"/>
          <w:szCs w:val="44"/>
          <w:lang w:val="en-US" w:eastAsia="zh-CN"/>
        </w:rPr>
        <w:t>硕士</w:t>
      </w:r>
      <w:r>
        <w:rPr>
          <w:rFonts w:hint="eastAsia" w:ascii="宋体" w:hAnsi="宋体" w:eastAsia="宋体" w:cs="宋体"/>
          <w:b/>
          <w:color w:val="000000"/>
          <w:sz w:val="44"/>
          <w:szCs w:val="44"/>
          <w:lang w:eastAsia="zh-CN"/>
        </w:rPr>
        <w:t>、</w:t>
      </w:r>
      <w:r>
        <w:rPr>
          <w:rFonts w:hint="eastAsia" w:ascii="宋体" w:hAnsi="宋体" w:eastAsia="宋体" w:cs="宋体"/>
          <w:b/>
          <w:color w:val="000000"/>
          <w:sz w:val="44"/>
          <w:szCs w:val="44"/>
        </w:rPr>
        <w:t>博士学位授予工作</w:t>
      </w:r>
    </w:p>
    <w:p w14:paraId="4F012B83">
      <w:pPr>
        <w:keepNext w:val="0"/>
        <w:keepLines w:val="0"/>
        <w:pageBreakBefore w:val="0"/>
        <w:widowControl w:val="0"/>
        <w:kinsoku/>
        <w:wordWrap/>
        <w:overflowPunct/>
        <w:topLinePunct w:val="0"/>
        <w:autoSpaceDE/>
        <w:autoSpaceDN/>
        <w:bidi w:val="0"/>
        <w:adjustRightInd w:val="0"/>
        <w:snapToGrid w:val="0"/>
        <w:spacing w:line="560" w:lineRule="exact"/>
        <w:ind w:right="0"/>
        <w:jc w:val="center"/>
        <w:textAlignment w:val="auto"/>
        <w:rPr>
          <w:rFonts w:hint="default" w:ascii="宋体" w:hAnsi="宋体" w:eastAsia="宋体" w:cs="宋体"/>
          <w:b/>
          <w:color w:val="000000"/>
          <w:sz w:val="44"/>
          <w:szCs w:val="44"/>
          <w:lang w:val="en-US" w:eastAsia="zh-CN"/>
        </w:rPr>
      </w:pPr>
      <w:r>
        <w:rPr>
          <w:rFonts w:hint="eastAsia" w:ascii="宋体" w:hAnsi="宋体" w:eastAsia="宋体" w:cs="宋体"/>
          <w:b/>
          <w:color w:val="000000"/>
          <w:sz w:val="44"/>
          <w:szCs w:val="44"/>
          <w:lang w:val="en-US" w:eastAsia="zh-CN"/>
        </w:rPr>
        <w:t>实施细则（修订）</w:t>
      </w:r>
    </w:p>
    <w:p w14:paraId="2DBE8E6B">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微软雅黑" w:hAnsi="微软雅黑" w:eastAsia="微软雅黑"/>
          <w:b/>
          <w:bCs/>
          <w:kern w:val="0"/>
          <w:sz w:val="32"/>
          <w:szCs w:val="32"/>
        </w:rPr>
      </w:pPr>
    </w:p>
    <w:p w14:paraId="6DF5F36A">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jc w:val="center"/>
        <w:textAlignment w:val="auto"/>
        <w:rPr>
          <w:rFonts w:hint="default" w:ascii="黑体" w:hAnsi="黑体" w:eastAsia="黑体" w:cs="黑体"/>
          <w:b w:val="0"/>
          <w:bCs/>
          <w:color w:val="000000"/>
          <w:sz w:val="32"/>
          <w:szCs w:val="32"/>
        </w:rPr>
      </w:pPr>
      <w:r>
        <w:rPr>
          <w:rFonts w:hint="eastAsia" w:ascii="黑体" w:hAnsi="黑体" w:eastAsia="黑体" w:cs="黑体"/>
          <w:b w:val="0"/>
          <w:bCs/>
          <w:color w:val="000000"/>
          <w:sz w:val="32"/>
          <w:szCs w:val="32"/>
        </w:rPr>
        <w:t>第一章</w:t>
      </w:r>
      <w:r>
        <w:rPr>
          <w:rFonts w:hint="eastAsia" w:ascii="黑体" w:hAnsi="黑体" w:eastAsia="黑体" w:cs="黑体"/>
          <w:b w:val="0"/>
          <w:bCs/>
          <w:color w:val="000000"/>
          <w:sz w:val="32"/>
          <w:szCs w:val="32"/>
          <w:lang w:val="en-US" w:eastAsia="zh-CN"/>
        </w:rPr>
        <w:t xml:space="preserve"> </w:t>
      </w:r>
      <w:r>
        <w:rPr>
          <w:rFonts w:hint="eastAsia" w:ascii="黑体" w:hAnsi="黑体" w:eastAsia="黑体" w:cs="黑体"/>
          <w:b w:val="0"/>
          <w:bCs/>
          <w:color w:val="000000"/>
          <w:sz w:val="32"/>
          <w:szCs w:val="32"/>
        </w:rPr>
        <w:t>总</w:t>
      </w:r>
      <w:r>
        <w:rPr>
          <w:rFonts w:hint="eastAsia" w:ascii="黑体" w:hAnsi="黑体" w:eastAsia="黑体" w:cs="黑体"/>
          <w:b w:val="0"/>
          <w:bCs/>
          <w:color w:val="000000"/>
          <w:sz w:val="32"/>
          <w:szCs w:val="32"/>
          <w:lang w:val="en-US" w:eastAsia="zh-CN"/>
        </w:rPr>
        <w:t xml:space="preserve"> </w:t>
      </w:r>
      <w:r>
        <w:rPr>
          <w:rFonts w:hint="eastAsia" w:ascii="黑体" w:hAnsi="黑体" w:eastAsia="黑体" w:cs="黑体"/>
          <w:b w:val="0"/>
          <w:bCs/>
          <w:color w:val="000000"/>
          <w:sz w:val="32"/>
          <w:szCs w:val="32"/>
        </w:rPr>
        <w:t>则</w:t>
      </w:r>
    </w:p>
    <w:p w14:paraId="5B36BACE">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b/>
          <w:bCs/>
          <w:color w:val="000000"/>
          <w:kern w:val="0"/>
          <w:sz w:val="32"/>
          <w:szCs w:val="32"/>
        </w:rPr>
        <w:t>第一条</w:t>
      </w:r>
      <w:r>
        <w:rPr>
          <w:rFonts w:hint="eastAsia" w:ascii="仿宋_GB2312" w:hAnsi="宋体" w:eastAsia="仿宋_GB2312" w:cs="宋体"/>
          <w:color w:val="000000"/>
          <w:kern w:val="0"/>
          <w:sz w:val="32"/>
          <w:szCs w:val="32"/>
        </w:rPr>
        <w:t xml:space="preserve"> 根据《中华人民共和国学位法》以及上级主管部门有关文件，结合我校实际情况，制定本</w:t>
      </w:r>
      <w:r>
        <w:rPr>
          <w:rFonts w:hint="eastAsia" w:ascii="仿宋_GB2312" w:hAnsi="宋体" w:eastAsia="仿宋_GB2312" w:cs="宋体"/>
          <w:color w:val="000000"/>
          <w:kern w:val="0"/>
          <w:sz w:val="32"/>
          <w:szCs w:val="32"/>
          <w:lang w:val="en-US" w:eastAsia="zh-CN"/>
        </w:rPr>
        <w:t>实施</w:t>
      </w:r>
      <w:r>
        <w:rPr>
          <w:rFonts w:hint="eastAsia" w:ascii="仿宋_GB2312" w:hAnsi="宋体" w:eastAsia="仿宋_GB2312" w:cs="宋体"/>
          <w:color w:val="000000"/>
          <w:kern w:val="0"/>
          <w:sz w:val="32"/>
          <w:szCs w:val="32"/>
        </w:rPr>
        <w:t>细则。</w:t>
      </w:r>
    </w:p>
    <w:p w14:paraId="1F9C5C9C">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default" w:ascii="仿宋_GB2312" w:hAnsi="宋体" w:eastAsia="仿宋_GB2312" w:cs="宋体"/>
          <w:color w:val="000000"/>
          <w:kern w:val="0"/>
          <w:sz w:val="32"/>
          <w:szCs w:val="32"/>
          <w:lang w:val="en-US"/>
        </w:rPr>
      </w:pPr>
      <w:r>
        <w:rPr>
          <w:rFonts w:hint="eastAsia" w:ascii="仿宋_GB2312" w:hAnsi="宋体" w:eastAsia="仿宋_GB2312" w:cs="宋体"/>
          <w:b/>
          <w:bCs/>
          <w:color w:val="000000"/>
          <w:kern w:val="0"/>
          <w:sz w:val="32"/>
          <w:szCs w:val="32"/>
        </w:rPr>
        <w:t>第二条</w:t>
      </w:r>
      <w:r>
        <w:rPr>
          <w:rFonts w:hint="eastAsia" w:ascii="仿宋_GB2312" w:hAnsi="宋体" w:eastAsia="仿宋_GB2312" w:cs="宋体"/>
          <w:b/>
          <w:bCs/>
          <w:color w:val="000000"/>
          <w:kern w:val="0"/>
          <w:sz w:val="32"/>
          <w:szCs w:val="32"/>
          <w:lang w:val="en-US" w:eastAsia="zh-CN"/>
        </w:rPr>
        <w:t xml:space="preserve"> </w:t>
      </w:r>
      <w:r>
        <w:rPr>
          <w:rFonts w:hint="eastAsia" w:ascii="仿宋_GB2312" w:hAnsi="宋体" w:eastAsia="仿宋_GB2312" w:cs="宋体"/>
          <w:color w:val="000000"/>
          <w:kern w:val="0"/>
          <w:sz w:val="32"/>
          <w:szCs w:val="32"/>
        </w:rPr>
        <w:t>我校硕士、博士学位按国务院学位委员会批准公布的学科门类、专业学位类别授予。</w:t>
      </w:r>
    </w:p>
    <w:p w14:paraId="5055D1DE">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三</w:t>
      </w:r>
      <w:r>
        <w:rPr>
          <w:rFonts w:hint="eastAsia" w:ascii="仿宋_GB2312" w:hAnsi="宋体" w:eastAsia="仿宋_GB2312" w:cs="宋体"/>
          <w:b/>
          <w:bCs/>
          <w:color w:val="000000"/>
          <w:kern w:val="0"/>
          <w:sz w:val="32"/>
          <w:szCs w:val="32"/>
        </w:rPr>
        <w:t>条</w:t>
      </w:r>
      <w:r>
        <w:rPr>
          <w:rFonts w:hint="eastAsia" w:ascii="仿宋_GB2312" w:hAnsi="宋体" w:eastAsia="仿宋_GB2312" w:cs="宋体"/>
          <w:b/>
          <w:bCs/>
          <w:color w:val="000000"/>
          <w:kern w:val="0"/>
          <w:sz w:val="32"/>
          <w:szCs w:val="32"/>
          <w:lang w:val="en-US" w:eastAsia="zh-CN"/>
        </w:rPr>
        <w:t xml:space="preserve"> </w:t>
      </w:r>
      <w:r>
        <w:rPr>
          <w:rFonts w:hint="eastAsia" w:ascii="仿宋_GB2312" w:hAnsi="宋体" w:eastAsia="仿宋_GB2312" w:cs="宋体"/>
          <w:color w:val="000000"/>
          <w:kern w:val="0"/>
          <w:sz w:val="32"/>
          <w:szCs w:val="32"/>
        </w:rPr>
        <w:t>凡是拥护中国共产党的领导，拥护社会主义制度，遵守宪法和法律，遵守学术道德和学术规范，并达到硕士、博士学</w:t>
      </w:r>
      <w:r>
        <w:rPr>
          <w:rFonts w:hint="eastAsia" w:ascii="仿宋_GB2312" w:hAnsi="宋体" w:eastAsia="仿宋_GB2312" w:cs="宋体"/>
          <w:color w:val="000000"/>
          <w:kern w:val="0"/>
          <w:sz w:val="32"/>
          <w:szCs w:val="32"/>
          <w:lang w:eastAsia="zh-CN"/>
        </w:rPr>
        <w:t>位的</w:t>
      </w:r>
      <w:r>
        <w:rPr>
          <w:rFonts w:hint="eastAsia" w:ascii="仿宋_GB2312" w:hAnsi="宋体" w:eastAsia="仿宋_GB2312" w:cs="宋体"/>
          <w:color w:val="000000"/>
          <w:kern w:val="0"/>
          <w:sz w:val="32"/>
          <w:szCs w:val="32"/>
        </w:rPr>
        <w:t>学业要求、学术水平或专业水平者，均可按照本细则的有关规定申请相应学位</w:t>
      </w:r>
      <w:r>
        <w:rPr>
          <w:rFonts w:hint="eastAsia" w:ascii="仿宋_GB2312" w:hAnsi="宋体" w:eastAsia="仿宋_GB2312" w:cs="宋体"/>
          <w:color w:val="000000"/>
          <w:kern w:val="0"/>
          <w:sz w:val="32"/>
          <w:szCs w:val="32"/>
          <w:lang w:eastAsia="zh-CN"/>
        </w:rPr>
        <w:t>。</w:t>
      </w:r>
    </w:p>
    <w:p w14:paraId="49754F1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val="0"/>
        <w:snapToGrid w:val="0"/>
        <w:spacing w:before="0" w:beforeAutospacing="0" w:after="0" w:afterAutospacing="0" w:line="560" w:lineRule="exact"/>
        <w:ind w:right="0"/>
        <w:jc w:val="center"/>
        <w:textAlignment w:val="auto"/>
        <w:rPr>
          <w:rFonts w:hint="eastAsia" w:ascii="黑体" w:hAnsi="宋体" w:eastAsia="黑体" w:cs="黑体"/>
          <w:i w:val="0"/>
          <w:iCs w:val="0"/>
          <w:caps w:val="0"/>
          <w:color w:val="000000"/>
          <w:spacing w:val="0"/>
          <w:sz w:val="32"/>
          <w:szCs w:val="32"/>
          <w:shd w:val="clear" w:color="auto" w:fill="FFFFFF"/>
        </w:rPr>
      </w:pPr>
      <w:r>
        <w:rPr>
          <w:rFonts w:hint="eastAsia" w:ascii="黑体" w:hAnsi="宋体" w:eastAsia="黑体" w:cs="黑体"/>
          <w:i w:val="0"/>
          <w:iCs w:val="0"/>
          <w:caps w:val="0"/>
          <w:color w:val="000000"/>
          <w:spacing w:val="0"/>
          <w:sz w:val="32"/>
          <w:szCs w:val="32"/>
          <w:shd w:val="clear" w:color="auto" w:fill="FFFFFF"/>
        </w:rPr>
        <w:t>第二章</w:t>
      </w:r>
      <w:r>
        <w:rPr>
          <w:rFonts w:hint="eastAsia" w:ascii="黑体" w:hAnsi="宋体" w:eastAsia="黑体" w:cs="黑体"/>
          <w:i w:val="0"/>
          <w:iCs w:val="0"/>
          <w:caps w:val="0"/>
          <w:color w:val="000000"/>
          <w:spacing w:val="0"/>
          <w:sz w:val="32"/>
          <w:szCs w:val="32"/>
          <w:shd w:val="clear" w:color="auto" w:fill="FFFFFF"/>
          <w:lang w:val="en-US" w:eastAsia="zh-CN"/>
        </w:rPr>
        <w:t xml:space="preserve"> </w:t>
      </w:r>
      <w:r>
        <w:rPr>
          <w:rFonts w:hint="eastAsia" w:ascii="黑体" w:hAnsi="宋体" w:eastAsia="黑体" w:cs="黑体"/>
          <w:i w:val="0"/>
          <w:iCs w:val="0"/>
          <w:caps w:val="0"/>
          <w:color w:val="000000"/>
          <w:spacing w:val="0"/>
          <w:sz w:val="32"/>
          <w:szCs w:val="32"/>
          <w:shd w:val="clear" w:color="auto" w:fill="FFFFFF"/>
        </w:rPr>
        <w:t>学位评定委员会</w:t>
      </w:r>
    </w:p>
    <w:p w14:paraId="56325C61">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四</w:t>
      </w:r>
      <w:r>
        <w:rPr>
          <w:rFonts w:hint="eastAsia" w:ascii="仿宋_GB2312" w:hAnsi="宋体" w:eastAsia="仿宋_GB2312" w:cs="宋体"/>
          <w:b/>
          <w:bCs/>
          <w:color w:val="000000"/>
          <w:kern w:val="0"/>
          <w:sz w:val="32"/>
          <w:szCs w:val="32"/>
        </w:rPr>
        <w:t>条</w:t>
      </w:r>
      <w:r>
        <w:rPr>
          <w:rFonts w:hint="eastAsia" w:ascii="仿宋_GB2312" w:hAnsi="宋体" w:eastAsia="仿宋_GB2312" w:cs="宋体"/>
          <w:color w:val="000000"/>
          <w:kern w:val="0"/>
          <w:sz w:val="32"/>
          <w:szCs w:val="32"/>
          <w:lang w:val="en-US" w:eastAsia="zh-CN"/>
        </w:rPr>
        <w:t xml:space="preserve"> </w:t>
      </w:r>
      <w:r>
        <w:rPr>
          <w:rFonts w:hint="default" w:ascii="仿宋_GB2312" w:hAnsi="宋体" w:eastAsia="仿宋_GB2312" w:cs="宋体"/>
          <w:color w:val="000000"/>
          <w:kern w:val="0"/>
          <w:sz w:val="32"/>
          <w:szCs w:val="32"/>
          <w:lang w:val="en-US" w:eastAsia="zh-CN"/>
        </w:rPr>
        <w:t>学校成立校级学位评定委员会，由本校具有高级专业技术职务的负责人、教学科研人员担任，其组成人员为不少于九人的单数。学位评定委员会主席由学校主要行政负责人担任。校学位评定委员会下设学位办公室。</w:t>
      </w:r>
    </w:p>
    <w:p w14:paraId="57BC415C">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default" w:ascii="仿宋_GB2312" w:hAnsi="宋体" w:eastAsia="仿宋_GB2312" w:cs="宋体"/>
          <w:color w:val="000000"/>
          <w:kern w:val="0"/>
          <w:sz w:val="32"/>
          <w:szCs w:val="32"/>
          <w:lang w:val="en-US" w:eastAsia="zh-CN"/>
        </w:rPr>
        <w:t>校学位评定委员会原则上于每年</w:t>
      </w:r>
      <w:r>
        <w:rPr>
          <w:rFonts w:hint="eastAsia" w:ascii="仿宋_GB2312" w:hAnsi="宋体" w:eastAsia="仿宋_GB2312" w:cs="宋体"/>
          <w:color w:val="000000"/>
          <w:kern w:val="0"/>
          <w:sz w:val="32"/>
          <w:szCs w:val="32"/>
          <w:lang w:val="en-US" w:eastAsia="zh-CN"/>
        </w:rPr>
        <w:t>3</w:t>
      </w:r>
      <w:r>
        <w:rPr>
          <w:rFonts w:hint="default" w:ascii="仿宋_GB2312" w:hAnsi="宋体" w:eastAsia="仿宋_GB2312" w:cs="宋体"/>
          <w:color w:val="000000"/>
          <w:kern w:val="0"/>
          <w:sz w:val="32"/>
          <w:szCs w:val="32"/>
          <w:lang w:val="en-US" w:eastAsia="zh-CN"/>
        </w:rPr>
        <w:t>月</w:t>
      </w:r>
      <w:r>
        <w:rPr>
          <w:rFonts w:hint="eastAsia" w:ascii="仿宋_GB2312" w:hAnsi="宋体" w:eastAsia="仿宋_GB2312" w:cs="宋体"/>
          <w:color w:val="000000"/>
          <w:kern w:val="0"/>
          <w:sz w:val="32"/>
          <w:szCs w:val="32"/>
          <w:lang w:val="en-US" w:eastAsia="zh-CN"/>
        </w:rPr>
        <w:t>、</w:t>
      </w:r>
      <w:r>
        <w:rPr>
          <w:rFonts w:hint="default" w:ascii="仿宋_GB2312" w:hAnsi="宋体" w:eastAsia="仿宋_GB2312" w:cs="宋体"/>
          <w:color w:val="000000"/>
          <w:kern w:val="0"/>
          <w:sz w:val="32"/>
          <w:szCs w:val="32"/>
          <w:lang w:val="en-US" w:eastAsia="zh-CN"/>
        </w:rPr>
        <w:t>6月</w:t>
      </w:r>
      <w:r>
        <w:rPr>
          <w:rFonts w:hint="eastAsia" w:ascii="仿宋_GB2312" w:hAnsi="宋体" w:eastAsia="仿宋_GB2312" w:cs="宋体"/>
          <w:color w:val="000000"/>
          <w:kern w:val="0"/>
          <w:sz w:val="32"/>
          <w:szCs w:val="32"/>
          <w:lang w:val="en-US" w:eastAsia="zh-CN"/>
        </w:rPr>
        <w:t>、9</w:t>
      </w:r>
      <w:r>
        <w:rPr>
          <w:rFonts w:hint="default" w:ascii="仿宋_GB2312" w:hAnsi="宋体" w:eastAsia="仿宋_GB2312" w:cs="宋体"/>
          <w:color w:val="000000"/>
          <w:kern w:val="0"/>
          <w:sz w:val="32"/>
          <w:szCs w:val="32"/>
          <w:lang w:val="en-US" w:eastAsia="zh-CN"/>
        </w:rPr>
        <w:t>月和1</w:t>
      </w:r>
      <w:r>
        <w:rPr>
          <w:rFonts w:hint="eastAsia" w:ascii="仿宋_GB2312" w:hAnsi="宋体" w:eastAsia="仿宋_GB2312" w:cs="宋体"/>
          <w:color w:val="000000"/>
          <w:kern w:val="0"/>
          <w:sz w:val="32"/>
          <w:szCs w:val="32"/>
          <w:lang w:val="en-US" w:eastAsia="zh-CN"/>
        </w:rPr>
        <w:t>2</w:t>
      </w:r>
      <w:r>
        <w:rPr>
          <w:rFonts w:hint="default" w:ascii="仿宋_GB2312" w:hAnsi="宋体" w:eastAsia="仿宋_GB2312" w:cs="宋体"/>
          <w:color w:val="000000"/>
          <w:kern w:val="0"/>
          <w:sz w:val="32"/>
          <w:szCs w:val="32"/>
          <w:lang w:val="en-US" w:eastAsia="zh-CN"/>
        </w:rPr>
        <w:t>月召开会议，审议学位申请人的学位授予工作。</w:t>
      </w:r>
    </w:p>
    <w:p w14:paraId="3BA4A503">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default" w:ascii="仿宋_GB2312" w:hAnsi="宋体" w:eastAsia="仿宋_GB2312" w:cs="宋体"/>
          <w:color w:val="000000"/>
          <w:kern w:val="0"/>
          <w:sz w:val="32"/>
          <w:szCs w:val="32"/>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五</w:t>
      </w:r>
      <w:r>
        <w:rPr>
          <w:rFonts w:hint="eastAsia" w:ascii="仿宋_GB2312" w:hAnsi="宋体" w:eastAsia="仿宋_GB2312" w:cs="宋体"/>
          <w:b/>
          <w:bCs/>
          <w:color w:val="000000"/>
          <w:kern w:val="0"/>
          <w:sz w:val="32"/>
          <w:szCs w:val="32"/>
        </w:rPr>
        <w:t>条</w:t>
      </w:r>
      <w:r>
        <w:rPr>
          <w:rFonts w:hint="eastAsia" w:ascii="仿宋_GB2312" w:hAnsi="宋体" w:eastAsia="仿宋_GB2312" w:cs="宋体"/>
          <w:b/>
          <w:bCs/>
          <w:color w:val="000000"/>
          <w:kern w:val="0"/>
          <w:sz w:val="32"/>
          <w:szCs w:val="32"/>
          <w:lang w:val="en-US" w:eastAsia="zh-CN"/>
        </w:rPr>
        <w:t xml:space="preserve"> </w:t>
      </w:r>
      <w:r>
        <w:rPr>
          <w:rFonts w:hint="eastAsia" w:ascii="仿宋_GB2312" w:hAnsi="宋体" w:eastAsia="仿宋_GB2312" w:cs="宋体"/>
          <w:color w:val="000000"/>
          <w:kern w:val="0"/>
          <w:sz w:val="32"/>
          <w:szCs w:val="32"/>
          <w:highlight w:val="none"/>
          <w:lang w:val="en-US" w:eastAsia="zh-CN"/>
        </w:rPr>
        <w:t>经</w:t>
      </w:r>
      <w:r>
        <w:rPr>
          <w:rFonts w:hint="default" w:ascii="仿宋_GB2312" w:hAnsi="宋体" w:eastAsia="仿宋_GB2312" w:cs="宋体"/>
          <w:color w:val="000000"/>
          <w:kern w:val="0"/>
          <w:sz w:val="32"/>
          <w:szCs w:val="32"/>
          <w:highlight w:val="none"/>
          <w:lang w:val="en-US" w:eastAsia="zh-CN"/>
        </w:rPr>
        <w:t>校学位评定委员会批准</w:t>
      </w:r>
      <w:r>
        <w:rPr>
          <w:rFonts w:hint="default" w:ascii="仿宋_GB2312" w:hAnsi="宋体" w:eastAsia="仿宋_GB2312" w:cs="宋体"/>
          <w:color w:val="000000"/>
          <w:kern w:val="0"/>
          <w:sz w:val="32"/>
          <w:szCs w:val="32"/>
          <w:lang w:val="en-US" w:eastAsia="zh-CN"/>
        </w:rPr>
        <w:t>，二级学院设学位评定分委员会，由具有高级专业技术职务的负责人、教学科研人员组成，其组成人员应当为不少于九人的单数。学位评定分委员会主席由</w:t>
      </w:r>
      <w:r>
        <w:rPr>
          <w:rFonts w:hint="eastAsia" w:ascii="仿宋_GB2312" w:hAnsi="宋体" w:eastAsia="仿宋_GB2312" w:cs="宋体"/>
          <w:color w:val="000000"/>
          <w:kern w:val="0"/>
          <w:sz w:val="32"/>
          <w:szCs w:val="32"/>
          <w:lang w:val="en-US" w:eastAsia="zh-CN"/>
        </w:rPr>
        <w:t>学院</w:t>
      </w:r>
      <w:r>
        <w:rPr>
          <w:rFonts w:hint="default" w:ascii="仿宋_GB2312" w:hAnsi="宋体" w:eastAsia="仿宋_GB2312" w:cs="宋体"/>
          <w:color w:val="000000"/>
          <w:kern w:val="0"/>
          <w:sz w:val="32"/>
          <w:szCs w:val="32"/>
          <w:lang w:val="en-US" w:eastAsia="zh-CN"/>
        </w:rPr>
        <w:t>主要行政负责人担任。</w:t>
      </w:r>
    </w:p>
    <w:p w14:paraId="7F41140C">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default" w:ascii="仿宋_GB2312" w:hAnsi="宋体" w:eastAsia="仿宋_GB2312" w:cs="宋体"/>
          <w:color w:val="000000"/>
          <w:kern w:val="0"/>
          <w:sz w:val="32"/>
          <w:szCs w:val="32"/>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六</w:t>
      </w:r>
      <w:r>
        <w:rPr>
          <w:rFonts w:hint="eastAsia" w:ascii="仿宋_GB2312" w:hAnsi="宋体" w:eastAsia="仿宋_GB2312" w:cs="宋体"/>
          <w:b/>
          <w:bCs/>
          <w:color w:val="000000"/>
          <w:kern w:val="0"/>
          <w:sz w:val="32"/>
          <w:szCs w:val="32"/>
        </w:rPr>
        <w:t>条</w:t>
      </w:r>
      <w:r>
        <w:rPr>
          <w:rFonts w:hint="eastAsia" w:ascii="仿宋_GB2312" w:hAnsi="宋体" w:eastAsia="仿宋_GB2312" w:cs="宋体"/>
          <w:b/>
          <w:bCs/>
          <w:color w:val="000000"/>
          <w:kern w:val="0"/>
          <w:sz w:val="32"/>
          <w:szCs w:val="32"/>
          <w:lang w:val="en-US" w:eastAsia="zh-CN"/>
        </w:rPr>
        <w:t xml:space="preserve"> </w:t>
      </w:r>
      <w:r>
        <w:rPr>
          <w:rFonts w:hint="default" w:ascii="仿宋_GB2312" w:hAnsi="宋体" w:eastAsia="仿宋_GB2312" w:cs="宋体"/>
          <w:color w:val="000000"/>
          <w:kern w:val="0"/>
          <w:sz w:val="32"/>
          <w:szCs w:val="32"/>
          <w:lang w:val="en-US" w:eastAsia="zh-CN"/>
        </w:rPr>
        <w:t>校学位评定委员会的职责</w:t>
      </w:r>
    </w:p>
    <w:p w14:paraId="653CB67E">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（一）审议学校学位授予的实施办法和具体标准；</w:t>
      </w:r>
    </w:p>
    <w:p w14:paraId="07A5AE0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（二）审议学位授予点的增设、撤销等事项；</w:t>
      </w:r>
    </w:p>
    <w:p w14:paraId="61886554">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（三）作出授予、不授予、撤销相应学位的决议；</w:t>
      </w:r>
    </w:p>
    <w:p w14:paraId="380EFFB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（四）研究处理学位授予争议；</w:t>
      </w:r>
    </w:p>
    <w:p w14:paraId="380232F9">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（五）受理与学位相关的投诉或者举报；</w:t>
      </w:r>
    </w:p>
    <w:p w14:paraId="7F2CDE38">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（六）审议其他与学位相关的事项。</w:t>
      </w:r>
    </w:p>
    <w:p w14:paraId="086BD134">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七</w:t>
      </w:r>
      <w:r>
        <w:rPr>
          <w:rFonts w:hint="eastAsia" w:ascii="仿宋_GB2312" w:hAnsi="宋体" w:eastAsia="仿宋_GB2312" w:cs="宋体"/>
          <w:b/>
          <w:bCs/>
          <w:color w:val="000000"/>
          <w:kern w:val="0"/>
          <w:sz w:val="32"/>
          <w:szCs w:val="32"/>
        </w:rPr>
        <w:t>条</w:t>
      </w:r>
      <w:r>
        <w:rPr>
          <w:rFonts w:hint="eastAsia" w:ascii="仿宋_GB2312" w:hAnsi="宋体" w:eastAsia="仿宋_GB2312" w:cs="宋体"/>
          <w:b/>
          <w:bCs/>
          <w:color w:val="000000"/>
          <w:kern w:val="0"/>
          <w:sz w:val="32"/>
          <w:szCs w:val="32"/>
          <w:lang w:val="en-US" w:eastAsia="zh-CN"/>
        </w:rPr>
        <w:t xml:space="preserve"> </w:t>
      </w:r>
      <w:r>
        <w:rPr>
          <w:rFonts w:hint="default" w:ascii="仿宋_GB2312" w:hAnsi="宋体" w:eastAsia="仿宋_GB2312" w:cs="宋体"/>
          <w:color w:val="000000"/>
          <w:kern w:val="0"/>
          <w:sz w:val="32"/>
          <w:szCs w:val="32"/>
          <w:lang w:val="en-US" w:eastAsia="zh-CN"/>
        </w:rPr>
        <w:t>学院学位评定分委员会的职责</w:t>
      </w:r>
      <w:r>
        <w:rPr>
          <w:rFonts w:hint="eastAsia" w:ascii="仿宋_GB2312" w:hAnsi="宋体" w:eastAsia="仿宋_GB2312" w:cs="宋体"/>
          <w:color w:val="000000"/>
          <w:kern w:val="0"/>
          <w:sz w:val="32"/>
          <w:szCs w:val="32"/>
          <w:lang w:val="en-US" w:eastAsia="zh-CN"/>
        </w:rPr>
        <w:t xml:space="preserve">                                                                </w:t>
      </w:r>
    </w:p>
    <w:p w14:paraId="07D50E4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协助校学位评定委员会开展工作，并受其委托，主要履行以下职责：</w:t>
      </w:r>
    </w:p>
    <w:p w14:paraId="7F634A8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（一）</w:t>
      </w:r>
      <w:r>
        <w:rPr>
          <w:rFonts w:ascii="仿宋_GB2312" w:hAnsi="仿宋_GB2312" w:eastAsia="仿宋_GB2312" w:cs="仿宋_GB2312"/>
          <w:i w:val="0"/>
          <w:iCs w:val="0"/>
          <w:caps w:val="0"/>
          <w:color w:val="000000"/>
          <w:spacing w:val="5"/>
          <w:sz w:val="32"/>
          <w:szCs w:val="32"/>
          <w:shd w:val="clear" w:color="auto" w:fill="FFFFFF"/>
        </w:rPr>
        <w:t>审定所辖学科专业各类学位授予标准。审议并提出授予或撤销相关人员学位的建议，以及授予学位的异议事项处理建议</w:t>
      </w:r>
      <w:r>
        <w:rPr>
          <w:rFonts w:hint="eastAsia" w:ascii="仿宋_GB2312" w:hAnsi="宋体" w:eastAsia="仿宋_GB2312" w:cs="宋体"/>
          <w:color w:val="000000"/>
          <w:kern w:val="0"/>
          <w:sz w:val="32"/>
          <w:szCs w:val="32"/>
          <w:lang w:val="en-US" w:eastAsia="zh-CN"/>
        </w:rPr>
        <w:t>；</w:t>
      </w:r>
    </w:p>
    <w:p w14:paraId="6D69E7BD">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（二）</w:t>
      </w:r>
      <w:r>
        <w:rPr>
          <w:rFonts w:ascii="仿宋_GB2312" w:hAnsi="仿宋_GB2312" w:eastAsia="仿宋_GB2312" w:cs="仿宋_GB2312"/>
          <w:i w:val="0"/>
          <w:iCs w:val="0"/>
          <w:caps w:val="0"/>
          <w:color w:val="000000"/>
          <w:spacing w:val="5"/>
          <w:sz w:val="32"/>
          <w:szCs w:val="32"/>
          <w:shd w:val="clear" w:color="auto" w:fill="FFFFFF"/>
        </w:rPr>
        <w:t>审议并提出所辖学科专业研究生指导教师的建议名单、考核等工作的建议</w:t>
      </w:r>
      <w:r>
        <w:rPr>
          <w:rFonts w:hint="eastAsia" w:ascii="仿宋_GB2312" w:hAnsi="宋体" w:eastAsia="仿宋_GB2312" w:cs="宋体"/>
          <w:color w:val="000000"/>
          <w:kern w:val="0"/>
          <w:sz w:val="32"/>
          <w:szCs w:val="32"/>
          <w:lang w:val="en-US" w:eastAsia="zh-CN"/>
        </w:rPr>
        <w:t xml:space="preserve">； </w:t>
      </w:r>
    </w:p>
    <w:p w14:paraId="45140C3E">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（三）</w:t>
      </w:r>
      <w:r>
        <w:rPr>
          <w:rFonts w:ascii="仿宋_GB2312" w:hAnsi="仿宋_GB2312" w:eastAsia="仿宋_GB2312" w:cs="仿宋_GB2312"/>
          <w:i w:val="0"/>
          <w:iCs w:val="0"/>
          <w:caps w:val="0"/>
          <w:color w:val="000000"/>
          <w:spacing w:val="5"/>
          <w:sz w:val="32"/>
          <w:szCs w:val="32"/>
          <w:shd w:val="clear" w:color="auto" w:fill="FFFFFF"/>
        </w:rPr>
        <w:t>负责所辖学科专业学位的规划、申报、建设、评估与管理</w:t>
      </w:r>
      <w:r>
        <w:rPr>
          <w:rFonts w:hint="eastAsia" w:ascii="仿宋_GB2312" w:hAnsi="宋体" w:eastAsia="仿宋_GB2312" w:cs="宋体"/>
          <w:color w:val="000000"/>
          <w:kern w:val="0"/>
          <w:sz w:val="32"/>
          <w:szCs w:val="32"/>
          <w:lang w:val="en-US" w:eastAsia="zh-CN"/>
        </w:rPr>
        <w:t xml:space="preserve">； </w:t>
      </w:r>
    </w:p>
    <w:p w14:paraId="07066C9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（四）</w:t>
      </w:r>
      <w:r>
        <w:rPr>
          <w:rFonts w:hint="default" w:ascii="仿宋_GB2312" w:hAnsi="宋体" w:eastAsia="仿宋_GB2312" w:cs="宋体"/>
          <w:color w:val="000000"/>
          <w:kern w:val="0"/>
          <w:sz w:val="32"/>
          <w:szCs w:val="32"/>
          <w:lang w:val="en-US" w:eastAsia="zh-CN"/>
        </w:rPr>
        <w:t>研究和处理本学院学位授予过程中的争议问题和</w:t>
      </w:r>
      <w:r>
        <w:rPr>
          <w:rFonts w:hint="eastAsia" w:ascii="仿宋_GB2312" w:hAnsi="宋体" w:eastAsia="仿宋_GB2312" w:cs="宋体"/>
          <w:color w:val="000000"/>
          <w:kern w:val="0"/>
          <w:sz w:val="32"/>
          <w:szCs w:val="32"/>
          <w:lang w:val="en-US" w:eastAsia="zh-CN"/>
        </w:rPr>
        <w:t>其他</w:t>
      </w:r>
      <w:r>
        <w:rPr>
          <w:rFonts w:hint="default" w:ascii="仿宋_GB2312" w:hAnsi="宋体" w:eastAsia="仿宋_GB2312" w:cs="宋体"/>
          <w:color w:val="000000"/>
          <w:kern w:val="0"/>
          <w:sz w:val="32"/>
          <w:szCs w:val="32"/>
          <w:lang w:val="en-US" w:eastAsia="zh-CN"/>
        </w:rPr>
        <w:t>事项；</w:t>
      </w:r>
    </w:p>
    <w:p w14:paraId="4521058E">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0"/>
          <w:szCs w:val="30"/>
          <w:lang w:val="en-US" w:eastAsia="zh-CN"/>
        </w:rPr>
      </w:pPr>
      <w:r>
        <w:rPr>
          <w:rFonts w:hint="eastAsia" w:ascii="仿宋_GB2312" w:hAnsi="宋体" w:eastAsia="仿宋_GB2312" w:cs="宋体"/>
          <w:color w:val="000000"/>
          <w:kern w:val="0"/>
          <w:sz w:val="32"/>
          <w:szCs w:val="32"/>
          <w:lang w:val="en-US" w:eastAsia="zh-CN"/>
        </w:rPr>
        <w:t>（五）</w:t>
      </w:r>
      <w:r>
        <w:rPr>
          <w:rFonts w:ascii="仿宋_GB2312" w:hAnsi="仿宋_GB2312" w:eastAsia="仿宋_GB2312" w:cs="仿宋_GB2312"/>
          <w:i w:val="0"/>
          <w:iCs w:val="0"/>
          <w:caps w:val="0"/>
          <w:color w:val="000000"/>
          <w:spacing w:val="5"/>
          <w:sz w:val="32"/>
          <w:szCs w:val="32"/>
          <w:highlight w:val="none"/>
          <w:shd w:val="clear" w:color="auto" w:fill="FFFFFF"/>
        </w:rPr>
        <w:t>完成校学位评定委员会布置的</w:t>
      </w:r>
      <w:r>
        <w:rPr>
          <w:rFonts w:hint="eastAsia" w:ascii="仿宋_GB2312" w:hAnsi="仿宋_GB2312" w:eastAsia="仿宋_GB2312" w:cs="仿宋_GB2312"/>
          <w:i w:val="0"/>
          <w:iCs w:val="0"/>
          <w:caps w:val="0"/>
          <w:color w:val="000000"/>
          <w:spacing w:val="5"/>
          <w:sz w:val="32"/>
          <w:szCs w:val="32"/>
          <w:highlight w:val="none"/>
          <w:shd w:val="clear" w:color="auto" w:fill="FFFFFF"/>
          <w:lang w:eastAsia="zh-CN"/>
        </w:rPr>
        <w:t>其他</w:t>
      </w:r>
      <w:r>
        <w:rPr>
          <w:rFonts w:ascii="仿宋_GB2312" w:hAnsi="仿宋_GB2312" w:eastAsia="仿宋_GB2312" w:cs="仿宋_GB2312"/>
          <w:i w:val="0"/>
          <w:iCs w:val="0"/>
          <w:caps w:val="0"/>
          <w:color w:val="000000"/>
          <w:spacing w:val="5"/>
          <w:sz w:val="32"/>
          <w:szCs w:val="32"/>
          <w:highlight w:val="none"/>
          <w:shd w:val="clear" w:color="auto" w:fill="FFFFFF"/>
        </w:rPr>
        <w:t>工作事项</w:t>
      </w:r>
      <w:r>
        <w:rPr>
          <w:rFonts w:hint="default" w:ascii="仿宋_GB2312" w:hAnsi="宋体" w:eastAsia="仿宋_GB2312" w:cs="宋体"/>
          <w:color w:val="000000"/>
          <w:kern w:val="0"/>
          <w:sz w:val="32"/>
          <w:szCs w:val="32"/>
          <w:lang w:val="en-US" w:eastAsia="zh-CN"/>
        </w:rPr>
        <w:t>。</w:t>
      </w:r>
      <w:r>
        <w:rPr>
          <w:rFonts w:hint="eastAsia" w:ascii="仿宋_GB2312" w:hAnsi="宋体" w:eastAsia="仿宋_GB2312" w:cs="宋体"/>
          <w:color w:val="000000"/>
          <w:kern w:val="0"/>
          <w:sz w:val="30"/>
          <w:szCs w:val="30"/>
          <w:lang w:val="en-US" w:eastAsia="zh-CN"/>
        </w:rPr>
        <w:t xml:space="preserve"> </w:t>
      </w:r>
    </w:p>
    <w:p w14:paraId="73D5CF9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val="0"/>
        <w:snapToGrid w:val="0"/>
        <w:spacing w:before="0" w:beforeAutospacing="0" w:after="0" w:afterAutospacing="0" w:line="560" w:lineRule="exact"/>
        <w:ind w:right="0"/>
        <w:jc w:val="center"/>
        <w:textAlignment w:val="auto"/>
        <w:rPr>
          <w:rFonts w:hint="eastAsia" w:ascii="黑体" w:hAnsi="宋体" w:eastAsia="黑体" w:cs="黑体"/>
          <w:i w:val="0"/>
          <w:iCs w:val="0"/>
          <w:caps w:val="0"/>
          <w:color w:val="000000"/>
          <w:spacing w:val="0"/>
          <w:sz w:val="32"/>
          <w:szCs w:val="32"/>
          <w:shd w:val="clear" w:color="auto" w:fill="FFFFFF"/>
          <w:lang w:val="en-US" w:eastAsia="zh-CN"/>
        </w:rPr>
      </w:pPr>
      <w:r>
        <w:rPr>
          <w:rFonts w:hint="eastAsia" w:ascii="黑体" w:hAnsi="宋体" w:eastAsia="黑体" w:cs="黑体"/>
          <w:i w:val="0"/>
          <w:iCs w:val="0"/>
          <w:caps w:val="0"/>
          <w:color w:val="000000"/>
          <w:spacing w:val="0"/>
          <w:sz w:val="32"/>
          <w:szCs w:val="32"/>
          <w:shd w:val="clear" w:color="auto" w:fill="FFFFFF"/>
          <w:lang w:val="en-US" w:eastAsia="zh-CN"/>
        </w:rPr>
        <w:t>第三章 硕士</w:t>
      </w:r>
      <w:r>
        <w:rPr>
          <w:rFonts w:hint="default" w:ascii="黑体" w:hAnsi="宋体" w:eastAsia="黑体" w:cs="黑体"/>
          <w:i w:val="0"/>
          <w:iCs w:val="0"/>
          <w:caps w:val="0"/>
          <w:color w:val="000000"/>
          <w:spacing w:val="0"/>
          <w:sz w:val="32"/>
          <w:szCs w:val="32"/>
          <w:shd w:val="clear" w:color="auto" w:fill="FFFFFF"/>
          <w:lang w:val="en-US" w:eastAsia="zh-CN"/>
        </w:rPr>
        <w:t>学位</w:t>
      </w:r>
    </w:p>
    <w:p w14:paraId="7668A657">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八</w:t>
      </w:r>
      <w:r>
        <w:rPr>
          <w:rFonts w:hint="eastAsia" w:ascii="仿宋_GB2312" w:hAnsi="宋体" w:eastAsia="仿宋_GB2312" w:cs="宋体"/>
          <w:b/>
          <w:bCs/>
          <w:color w:val="000000"/>
          <w:kern w:val="0"/>
          <w:sz w:val="32"/>
          <w:szCs w:val="32"/>
        </w:rPr>
        <w:t>条</w:t>
      </w:r>
      <w:r>
        <w:rPr>
          <w:rFonts w:hint="eastAsia" w:ascii="仿宋_GB2312" w:hAnsi="宋体" w:eastAsia="仿宋_GB2312" w:cs="宋体"/>
          <w:color w:val="000000"/>
          <w:kern w:val="0"/>
          <w:sz w:val="32"/>
          <w:szCs w:val="32"/>
          <w:lang w:val="en-US" w:eastAsia="zh-CN"/>
        </w:rPr>
        <w:t xml:space="preserve"> 凡符合本细则第三条规定的攻读硕士学位研究生，通过规定的课程考核或者修满相应的学分，完成学术研究训练或者专业实践训练，通过学位论文答辩或者规定的实践成果答辩，表明学位申请人达到下列水平的，授予硕士学位：</w:t>
      </w:r>
    </w:p>
    <w:p w14:paraId="2A29743B">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（一）在本学科或者专业领域掌握坚实的基础理论和系统的专门知识；</w:t>
      </w:r>
    </w:p>
    <w:p w14:paraId="74DBAB0B">
      <w:pPr>
        <w:keepNext w:val="0"/>
        <w:keepLines w:val="0"/>
        <w:pageBreakBefore w:val="0"/>
        <w:widowControl/>
        <w:kinsoku/>
        <w:wordWrap/>
        <w:overflowPunct w:val="0"/>
        <w:topLinePunct w:val="0"/>
        <w:autoSpaceDE w:val="0"/>
        <w:autoSpaceDN w:val="0"/>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w w:val="100"/>
          <w:kern w:val="0"/>
          <w:sz w:val="32"/>
          <w:szCs w:val="32"/>
          <w:lang w:val="en-US" w:eastAsia="zh-CN"/>
        </w:rPr>
        <w:t>（二）学术学位申请人应当具有从事学术研究工作的能力，专业学位申请人应当具有承担专业实践工作的能力；</w:t>
      </w:r>
      <w:r>
        <w:rPr>
          <w:rFonts w:hint="eastAsia" w:ascii="仿宋_GB2312" w:hAnsi="宋体" w:eastAsia="仿宋_GB2312" w:cs="宋体"/>
          <w:color w:val="000000"/>
          <w:kern w:val="0"/>
          <w:sz w:val="32"/>
          <w:szCs w:val="32"/>
          <w:lang w:val="en-US" w:eastAsia="zh-CN"/>
        </w:rPr>
        <w:t xml:space="preserve">  </w:t>
      </w:r>
    </w:p>
    <w:p w14:paraId="024A4887">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（三）符合本学位点的学位授予条件。各学位点对论文或实践成果的具体要求结合学校相关规定自行制定，经学位点所在学院学位评定分委员会通过后公开，并报校学位评定委员会备案。</w:t>
      </w:r>
      <w:r>
        <w:rPr>
          <w:rFonts w:hint="eastAsia" w:ascii="仿宋_GB2312" w:hAnsi="宋体" w:eastAsia="仿宋_GB2312" w:cs="宋体"/>
          <w:color w:val="000000"/>
          <w:kern w:val="0"/>
          <w:sz w:val="32"/>
          <w:szCs w:val="32"/>
          <w:lang w:val="en-US" w:eastAsia="zh-CN"/>
        </w:rPr>
        <w:br w:type="textWrapping"/>
      </w:r>
      <w:r>
        <w:rPr>
          <w:rFonts w:hint="eastAsia" w:ascii="仿宋_GB2312" w:hAnsi="宋体" w:eastAsia="仿宋_GB2312" w:cs="宋体"/>
          <w:color w:val="000000"/>
          <w:kern w:val="0"/>
          <w:sz w:val="32"/>
          <w:szCs w:val="32"/>
          <w:lang w:val="en-US" w:eastAsia="zh-CN"/>
        </w:rPr>
        <w:t xml:space="preserve">    </w:t>
      </w:r>
      <w:r>
        <w:rPr>
          <w:rFonts w:hint="eastAsia" w:ascii="仿宋_GB2312" w:hAnsi="宋体" w:eastAsia="仿宋_GB2312" w:cs="宋体"/>
          <w:b/>
          <w:bCs/>
          <w:color w:val="000000"/>
          <w:kern w:val="0"/>
          <w:sz w:val="32"/>
          <w:szCs w:val="32"/>
          <w:lang w:val="en-US" w:eastAsia="zh-CN"/>
        </w:rPr>
        <w:t>第九条</w:t>
      </w:r>
      <w:r>
        <w:rPr>
          <w:rFonts w:hint="eastAsia" w:ascii="仿宋_GB2312" w:hAnsi="宋体" w:eastAsia="仿宋_GB2312" w:cs="宋体"/>
          <w:color w:val="000000"/>
          <w:kern w:val="0"/>
          <w:sz w:val="32"/>
          <w:szCs w:val="32"/>
          <w:lang w:val="en-US" w:eastAsia="zh-CN"/>
        </w:rPr>
        <w:t xml:space="preserve"> 课程学习要求</w:t>
      </w:r>
    </w:p>
    <w:p w14:paraId="3FC7BE0B">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highlight w:val="none"/>
          <w:lang w:val="en-US" w:eastAsia="zh-CN" w:bidi="ar-SA"/>
        </w:rPr>
        <w:t>硕士研究生在申请授予硕士学位前须修完培养计划规定的课程，并获得规定的学分。其中，学位课程成绩不低于70分。</w:t>
      </w:r>
    </w:p>
    <w:p w14:paraId="15D21F6E">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十</w:t>
      </w:r>
      <w:r>
        <w:rPr>
          <w:rFonts w:hint="eastAsia" w:ascii="仿宋_GB2312" w:hAnsi="宋体" w:eastAsia="仿宋_GB2312" w:cs="宋体"/>
          <w:b/>
          <w:bCs/>
          <w:color w:val="000000"/>
          <w:kern w:val="0"/>
          <w:sz w:val="32"/>
          <w:szCs w:val="32"/>
        </w:rPr>
        <w:t>条</w:t>
      </w:r>
      <w:r>
        <w:rPr>
          <w:rFonts w:hint="eastAsia" w:ascii="仿宋_GB2312" w:hAnsi="宋体" w:eastAsia="仿宋_GB2312" w:cs="宋体"/>
          <w:color w:val="000000"/>
          <w:kern w:val="0"/>
          <w:sz w:val="32"/>
          <w:szCs w:val="32"/>
        </w:rPr>
        <w:t xml:space="preserve"> 学位论文要求</w:t>
      </w:r>
    </w:p>
    <w:p w14:paraId="2E9F7BA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lang w:val="en-US" w:eastAsia="zh-CN"/>
        </w:rPr>
        <w:t>（一）学术学位的硕士论文应是一篇系统而完整的学术论文。学位论文的基本论点、结论和建议，应有一定的学术价值或对国民经济建设具有一定的理论和实践意义；</w:t>
      </w:r>
      <w:r>
        <w:rPr>
          <w:rFonts w:hint="eastAsia" w:ascii="仿宋_GB2312" w:hAnsi="宋体" w:eastAsia="仿宋_GB2312" w:cs="宋体"/>
          <w:color w:val="000000"/>
          <w:kern w:val="0"/>
          <w:sz w:val="32"/>
          <w:szCs w:val="32"/>
          <w:highlight w:val="none"/>
          <w:lang w:val="en-US" w:eastAsia="zh-CN"/>
        </w:rPr>
        <w:t>论文内容应体现出作者具有坚实的基础理论和系统的专门知识，应反映出科学的研究方法和较熟练的技能，应具有新的见解和取得一定的科研或技术成果。</w:t>
      </w:r>
    </w:p>
    <w:p w14:paraId="442FDB58">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default" w:ascii="仿宋_GB2312" w:hAnsi="宋体" w:eastAsia="仿宋_GB2312" w:cs="宋体"/>
          <w:color w:val="000000"/>
          <w:kern w:val="0"/>
          <w:sz w:val="32"/>
          <w:szCs w:val="32"/>
          <w:lang w:val="en-US" w:eastAsia="zh-CN"/>
        </w:rPr>
        <w:t>专业学位的硕士论文须与实践紧密结合，论文的内容应体现作者运用本专业学位及相关学科的理论知识和方法，分析和解决实际问题的能力；论文结果应对实际工作具有较高的应用价值。</w:t>
      </w:r>
      <w:r>
        <w:rPr>
          <w:rFonts w:hint="default" w:ascii="仿宋_GB2312" w:hAnsi="宋体" w:eastAsia="仿宋_GB2312" w:cs="宋体"/>
          <w:color w:val="000000"/>
          <w:kern w:val="0"/>
          <w:sz w:val="32"/>
          <w:szCs w:val="32"/>
          <w:highlight w:val="none"/>
          <w:lang w:val="en-US" w:eastAsia="zh-CN"/>
        </w:rPr>
        <w:t>专业学位论文形式</w:t>
      </w:r>
      <w:r>
        <w:rPr>
          <w:rFonts w:hint="default" w:ascii="仿宋_GB2312" w:hAnsi="宋体" w:eastAsia="仿宋_GB2312" w:cs="宋体"/>
          <w:color w:val="000000"/>
          <w:kern w:val="0"/>
          <w:sz w:val="32"/>
          <w:szCs w:val="32"/>
          <w:lang w:val="en-US" w:eastAsia="zh-CN"/>
        </w:rPr>
        <w:t>可采用调研报告、应用基础研究报告、规划设计报告、产品开发技术报告、案例分析报告、项目管理报告、文学艺术作品等形式，也可以是传统的学位论文</w:t>
      </w:r>
      <w:r>
        <w:rPr>
          <w:rFonts w:hint="eastAsia" w:ascii="仿宋_GB2312" w:hAnsi="宋体" w:eastAsia="仿宋_GB2312" w:cs="宋体"/>
          <w:color w:val="000000"/>
          <w:kern w:val="0"/>
          <w:sz w:val="32"/>
          <w:szCs w:val="32"/>
          <w:lang w:val="en-US" w:eastAsia="zh-CN"/>
        </w:rPr>
        <w:t>。</w:t>
      </w:r>
    </w:p>
    <w:p w14:paraId="64D3E5E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rPr>
      </w:pPr>
      <w:r>
        <w:rPr>
          <w:rFonts w:hint="default" w:ascii="仿宋_GB2312" w:hAnsi="宋体" w:eastAsia="仿宋_GB2312" w:cs="宋体"/>
          <w:color w:val="000000"/>
          <w:kern w:val="0"/>
          <w:sz w:val="32"/>
          <w:szCs w:val="32"/>
          <w:lang w:val="en-US" w:eastAsia="zh-CN"/>
        </w:rPr>
        <w:t>（二）学位论文应在导师的指导下由本人独立完成，学位申请人在学位论文的研究、写作和学位申请过程中应当恪守学术道德和学术规范，严格遵守国家相关的</w:t>
      </w:r>
      <w:r>
        <w:rPr>
          <w:rFonts w:hint="eastAsia" w:ascii="仿宋_GB2312" w:hAnsi="宋体" w:eastAsia="仿宋_GB2312" w:cs="宋体"/>
          <w:color w:val="000000"/>
          <w:kern w:val="0"/>
          <w:sz w:val="32"/>
          <w:szCs w:val="32"/>
          <w:lang w:val="en-US" w:eastAsia="zh-CN"/>
        </w:rPr>
        <w:t>法律法规</w:t>
      </w:r>
      <w:r>
        <w:rPr>
          <w:rFonts w:hint="default" w:ascii="仿宋_GB2312" w:hAnsi="宋体" w:eastAsia="仿宋_GB2312" w:cs="宋体"/>
          <w:color w:val="000000"/>
          <w:kern w:val="0"/>
          <w:sz w:val="32"/>
          <w:szCs w:val="32"/>
          <w:lang w:val="en-US" w:eastAsia="zh-CN"/>
        </w:rPr>
        <w:t>及本校关于学术规范的相关规定，尊重知识产权，严谨治学，维护科学诚信</w:t>
      </w:r>
      <w:r>
        <w:rPr>
          <w:rFonts w:hint="eastAsia" w:ascii="仿宋_GB2312" w:hAnsi="宋体" w:eastAsia="仿宋_GB2312" w:cs="宋体"/>
          <w:color w:val="000000"/>
          <w:kern w:val="0"/>
          <w:sz w:val="32"/>
          <w:szCs w:val="32"/>
          <w:lang w:val="en-US" w:eastAsia="zh-CN"/>
        </w:rPr>
        <w:t>。</w:t>
      </w:r>
    </w:p>
    <w:p w14:paraId="41BEB77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rPr>
      </w:pPr>
      <w:r>
        <w:rPr>
          <w:rFonts w:hint="default" w:ascii="仿宋_GB2312" w:hAnsi="宋体" w:eastAsia="仿宋_GB2312" w:cs="宋体"/>
          <w:color w:val="000000"/>
          <w:kern w:val="0"/>
          <w:sz w:val="32"/>
          <w:szCs w:val="32"/>
          <w:lang w:val="en-US" w:eastAsia="zh-CN"/>
        </w:rPr>
        <w:t>（三）学位论文书写要符合《安徽建筑大学研究生学位论文撰写要求》的</w:t>
      </w:r>
      <w:r>
        <w:rPr>
          <w:rFonts w:hint="eastAsia" w:ascii="仿宋_GB2312" w:hAnsi="宋体" w:eastAsia="仿宋_GB2312" w:cs="宋体"/>
          <w:color w:val="000000"/>
          <w:kern w:val="0"/>
          <w:sz w:val="32"/>
          <w:szCs w:val="32"/>
          <w:lang w:val="en-US" w:eastAsia="zh-CN"/>
        </w:rPr>
        <w:t>规定。</w:t>
      </w:r>
    </w:p>
    <w:p w14:paraId="319D143B">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default" w:ascii="仿宋_GB2312" w:hAnsi="宋体" w:eastAsia="仿宋_GB2312" w:cs="宋体"/>
          <w:color w:val="000000"/>
          <w:kern w:val="0"/>
          <w:sz w:val="32"/>
          <w:szCs w:val="32"/>
          <w:lang w:val="en-US" w:eastAsia="zh-CN"/>
        </w:rPr>
        <w:t>（</w:t>
      </w:r>
      <w:r>
        <w:rPr>
          <w:rFonts w:hint="eastAsia" w:ascii="仿宋_GB2312" w:hAnsi="宋体" w:eastAsia="仿宋_GB2312" w:cs="宋体"/>
          <w:color w:val="000000"/>
          <w:kern w:val="0"/>
          <w:sz w:val="32"/>
          <w:szCs w:val="32"/>
          <w:lang w:val="en-US" w:eastAsia="zh-CN"/>
        </w:rPr>
        <w:t>四</w:t>
      </w:r>
      <w:r>
        <w:rPr>
          <w:rFonts w:hint="default" w:ascii="仿宋_GB2312" w:hAnsi="宋体" w:eastAsia="仿宋_GB2312" w:cs="宋体"/>
          <w:color w:val="000000"/>
          <w:kern w:val="0"/>
          <w:sz w:val="32"/>
          <w:szCs w:val="32"/>
          <w:lang w:val="en-US" w:eastAsia="zh-CN"/>
        </w:rPr>
        <w:t>）涉密的</w:t>
      </w:r>
      <w:r>
        <w:rPr>
          <w:rFonts w:hint="eastAsia" w:ascii="仿宋_GB2312" w:hAnsi="宋体" w:eastAsia="仿宋_GB2312" w:cs="宋体"/>
          <w:color w:val="000000"/>
          <w:kern w:val="0"/>
          <w:sz w:val="32"/>
          <w:szCs w:val="32"/>
          <w:lang w:val="en-US" w:eastAsia="zh-CN"/>
        </w:rPr>
        <w:t>硕士</w:t>
      </w:r>
      <w:r>
        <w:rPr>
          <w:rFonts w:hint="default" w:ascii="仿宋_GB2312" w:hAnsi="宋体" w:eastAsia="仿宋_GB2312" w:cs="宋体"/>
          <w:color w:val="000000"/>
          <w:kern w:val="0"/>
          <w:sz w:val="32"/>
          <w:szCs w:val="32"/>
          <w:lang w:val="en-US" w:eastAsia="zh-CN"/>
        </w:rPr>
        <w:t>学位论文需要在论文开题之前提出书面申请，经学院和学校审核同意之后确定为涉密论文，涉密论文的开题、评阅和答辩等环节需按照保密工作的相关规定进行。</w:t>
      </w:r>
    </w:p>
    <w:p w14:paraId="58A66190">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十一</w:t>
      </w:r>
      <w:r>
        <w:rPr>
          <w:rFonts w:hint="eastAsia" w:ascii="仿宋_GB2312" w:hAnsi="宋体" w:eastAsia="仿宋_GB2312" w:cs="宋体"/>
          <w:b/>
          <w:bCs/>
          <w:color w:val="000000"/>
          <w:kern w:val="0"/>
          <w:sz w:val="32"/>
          <w:szCs w:val="32"/>
        </w:rPr>
        <w:t>条</w:t>
      </w:r>
      <w:r>
        <w:rPr>
          <w:rFonts w:hint="eastAsia" w:ascii="仿宋_GB2312" w:hAnsi="宋体" w:eastAsia="仿宋_GB2312" w:cs="宋体"/>
          <w:color w:val="000000"/>
          <w:kern w:val="0"/>
          <w:sz w:val="32"/>
          <w:szCs w:val="32"/>
          <w:lang w:val="en-US" w:eastAsia="zh-CN"/>
        </w:rPr>
        <w:t xml:space="preserve"> 论文预答辩</w:t>
      </w:r>
    </w:p>
    <w:p w14:paraId="63F64A00">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硕士学位论文送审评阅前应进行学位论文预答辩。预答辩由所在学科的学院组织，报校学位办公室备案。通过预答辩者，可向校学位办公室提交送审的硕士学位论文。预答辩未通过者，申请人在规定的时间内，根据预答辩委员会提出的意见和建议修改论文，</w:t>
      </w:r>
      <w:r>
        <w:rPr>
          <w:rFonts w:hint="default" w:ascii="仿宋_GB2312" w:hAnsi="宋体" w:eastAsia="仿宋_GB2312" w:cs="宋体"/>
          <w:color w:val="000000"/>
          <w:kern w:val="0"/>
          <w:sz w:val="32"/>
          <w:szCs w:val="32"/>
          <w:lang w:val="en-US" w:eastAsia="zh-CN"/>
        </w:rPr>
        <w:t>提交学位论文修改情况书面说明，经导师审核通过后，重新申请学位论文预答辩</w:t>
      </w:r>
      <w:r>
        <w:rPr>
          <w:rFonts w:hint="eastAsia" w:ascii="仿宋_GB2312" w:hAnsi="宋体" w:eastAsia="仿宋_GB2312" w:cs="宋体"/>
          <w:color w:val="000000"/>
          <w:kern w:val="0"/>
          <w:sz w:val="32"/>
          <w:szCs w:val="32"/>
          <w:lang w:val="en-US" w:eastAsia="zh-CN"/>
        </w:rPr>
        <w:t>。</w:t>
      </w:r>
    </w:p>
    <w:p w14:paraId="254874C0">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十二</w:t>
      </w:r>
      <w:r>
        <w:rPr>
          <w:rFonts w:hint="eastAsia" w:ascii="仿宋_GB2312" w:hAnsi="宋体" w:eastAsia="仿宋_GB2312" w:cs="宋体"/>
          <w:b/>
          <w:bCs/>
          <w:color w:val="000000"/>
          <w:kern w:val="0"/>
          <w:sz w:val="32"/>
          <w:szCs w:val="32"/>
        </w:rPr>
        <w:t>条</w:t>
      </w:r>
      <w:r>
        <w:rPr>
          <w:rFonts w:hint="eastAsia" w:ascii="仿宋_GB2312" w:hAnsi="宋体" w:eastAsia="仿宋_GB2312" w:cs="宋体"/>
          <w:color w:val="000000"/>
          <w:kern w:val="0"/>
          <w:sz w:val="32"/>
          <w:szCs w:val="32"/>
          <w:lang w:val="en-US" w:eastAsia="zh-CN"/>
        </w:rPr>
        <w:t xml:space="preserve"> 学位论文评阅</w:t>
      </w:r>
    </w:p>
    <w:p w14:paraId="5E4FE827">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（一）硕士学位论文评阅前需进行文字复制比检测工作，复制比必须符合《安徽建筑大学研究生学位论文复制比检测和盲审实施办法》的规定；</w:t>
      </w:r>
    </w:p>
    <w:p w14:paraId="1E268514">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（二）为保证学位授予质量，硕士学位论文全部参加学校组织的“双盲”评审，评阅通过方可申请学位论文答辩。具体按照《安徽建筑大学研究生学位论文复制比检测和盲审实施办法》执行。</w:t>
      </w:r>
    </w:p>
    <w:p w14:paraId="4E4C3A1D">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十三</w:t>
      </w:r>
      <w:r>
        <w:rPr>
          <w:rFonts w:hint="eastAsia" w:ascii="仿宋_GB2312" w:hAnsi="宋体" w:eastAsia="仿宋_GB2312" w:cs="宋体"/>
          <w:b/>
          <w:bCs/>
          <w:color w:val="000000"/>
          <w:kern w:val="0"/>
          <w:sz w:val="32"/>
          <w:szCs w:val="32"/>
        </w:rPr>
        <w:t>条</w:t>
      </w:r>
      <w:r>
        <w:rPr>
          <w:rFonts w:hint="eastAsia" w:ascii="仿宋_GB2312" w:hAnsi="宋体" w:eastAsia="仿宋_GB2312" w:cs="宋体"/>
          <w:color w:val="000000"/>
          <w:kern w:val="0"/>
          <w:sz w:val="32"/>
          <w:szCs w:val="32"/>
          <w:lang w:val="en-US" w:eastAsia="zh-CN"/>
        </w:rPr>
        <w:t xml:space="preserve"> 学位论文答辩</w:t>
      </w:r>
    </w:p>
    <w:p w14:paraId="34D9291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（一）答辩资格审查</w:t>
      </w:r>
    </w:p>
    <w:p w14:paraId="21E7C64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lang w:val="en-US" w:eastAsia="zh-CN"/>
        </w:rPr>
        <w:t>1.申请论文答辩。硕士毕业研究生完成学位论文后，经导师同意，论文评阅通过后，可填写论文答辩申请表，向所在学院学位评定分委员会申请论文答辩。同时提供下列材料：（1）学位论文；（2）学习</w:t>
      </w:r>
      <w:r>
        <w:rPr>
          <w:rFonts w:hint="eastAsia" w:ascii="仿宋_GB2312" w:hAnsi="宋体" w:eastAsia="仿宋_GB2312" w:cs="宋体"/>
          <w:color w:val="000000"/>
          <w:kern w:val="0"/>
          <w:sz w:val="32"/>
          <w:szCs w:val="32"/>
          <w:highlight w:val="none"/>
          <w:lang w:val="en-US" w:eastAsia="zh-CN"/>
        </w:rPr>
        <w:t>成绩单一份；（3）在读期间公开发表的论文及取得成果证明的文件原件、复印件各一份。</w:t>
      </w:r>
    </w:p>
    <w:p w14:paraId="3FE32CB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2.学院指定专人按照硕士研究生毕业所规定的培养计划要求，逐一进行答辩资格审查。</w:t>
      </w:r>
    </w:p>
    <w:p w14:paraId="56CF2215">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3.答辩资格审查合格后，由学院学位评定分委员会聘请专家组建学位论文答辩委员会，进行论文答辩。</w:t>
      </w:r>
    </w:p>
    <w:p w14:paraId="7E3E0DD1">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（二）</w:t>
      </w:r>
      <w:r>
        <w:rPr>
          <w:rFonts w:hint="default" w:ascii="仿宋_GB2312" w:hAnsi="宋体" w:eastAsia="仿宋_GB2312" w:cs="宋体"/>
          <w:color w:val="000000"/>
          <w:kern w:val="0"/>
          <w:sz w:val="32"/>
          <w:szCs w:val="32"/>
          <w:lang w:val="en-US" w:eastAsia="zh-CN"/>
        </w:rPr>
        <w:t>答辩委员会的组成</w:t>
      </w:r>
    </w:p>
    <w:p w14:paraId="4A4ADB7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硕士学位论文答辩委员会由3～5人组成。答辩委员从具有高级专业技术职务又熟悉论文研究内容的专家中选聘，其中校外专家不少于2人，专业学位研究生的答辩委员中来自相关行业实践领域具有高级专业技术职务的外单位专家不少于2人。答辩委员由学院分管领导会同有关导师协商提名，报学院学位评定分委员会批准，并报研究生院备案。答辩委员会设主席1人，由学院学位评定分委员会从学术地位较高的答辩委员中选定，主持答辩工作，导师不能担任其指导的研究生答辩委员会委员。答辩委员会设秘书1人，由答辩委员会主席指定，秘书协助主席组织和处理答辩工作事宜。</w:t>
      </w:r>
    </w:p>
    <w:p w14:paraId="59C3E030">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答辩委员会秘书须于答辩前7天将答辩论文及申请人的相关材料送达答辩委员会委员；各答辩委员会委员要认真审阅论文及有关材料，并提出个人意见；答辩时应本着“坚持标准、严格要求、确保质量、公正合理”的原则，充分发扬民主，敢于发表个人意见。</w:t>
      </w:r>
    </w:p>
    <w:p w14:paraId="5CAD176D">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论文答辩一般公开举行（保密课题除外），由答辩委员会秘书做详细记录。</w:t>
      </w:r>
    </w:p>
    <w:p w14:paraId="4B8C9C7A">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highlight w:val="none"/>
          <w:lang w:val="en-US" w:eastAsia="zh-CN"/>
        </w:rPr>
        <w:t>（三）论文答辩一般程序</w:t>
      </w:r>
    </w:p>
    <w:p w14:paraId="2101869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highlight w:val="none"/>
          <w:lang w:val="en-US" w:eastAsia="zh-CN"/>
        </w:rPr>
        <w:t>1.秘书宣布答辩委员会委员和主席名单；</w:t>
      </w:r>
    </w:p>
    <w:p w14:paraId="79455D3E">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highlight w:val="none"/>
          <w:lang w:val="en-US" w:eastAsia="zh-CN"/>
        </w:rPr>
        <w:t>2.主席主持会议，宣布答辩会开始，并宣布答辩会的程序和要求；</w:t>
      </w:r>
    </w:p>
    <w:p w14:paraId="3E8ED8B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highlight w:val="none"/>
          <w:lang w:val="en-US" w:eastAsia="zh-CN"/>
        </w:rPr>
        <w:t>3.秘书介绍申请人的姓名、论文题目、导师姓名、职称等；</w:t>
      </w:r>
    </w:p>
    <w:p w14:paraId="58D86B6B">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4.答辩申请人报告论文主要内容；</w:t>
      </w:r>
    </w:p>
    <w:p w14:paraId="67AA6984">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5.各答辩委员提问，学位申请人答辩（一般不少于30分钟）；</w:t>
      </w:r>
    </w:p>
    <w:p w14:paraId="3A37F971">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6.休会（申请人及列席人员暂时退席）；</w:t>
      </w:r>
    </w:p>
    <w:p w14:paraId="4FE4EF0C">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7.答辩委员会成员举行会议，商定答辩委员会决议。</w:t>
      </w:r>
    </w:p>
    <w:p w14:paraId="6DC6AE7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由答辩秘书介绍申请人完成培养计划的情况，宣读导师和学位论文评阅人的学术评语，委员进行评议，并以无记名投票方式，表决是否建议授予硕士学位，经全体委员三分之二以上同意为通过。决议内容应包括对学位论文的学术评语，答辩情况和通过答辩对申请人掌握基础理论和专业知识、从事科学研究工作能力的评价，以及答辩委员会表决结果等。决议由秘书填入《学位论文答辩决议书》，答辩委员会委员签字。</w:t>
      </w:r>
    </w:p>
    <w:p w14:paraId="4F51D36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8.答辩会复会，答辩委员会主席宣布答辩委员会决议。</w:t>
      </w:r>
    </w:p>
    <w:p w14:paraId="7D27A7C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highlight w:val="none"/>
          <w:lang w:val="en-US" w:eastAsia="zh-CN"/>
        </w:rPr>
        <w:t>（四）</w:t>
      </w:r>
      <w:r>
        <w:rPr>
          <w:rFonts w:hint="eastAsia" w:ascii="仿宋_GB2312" w:hAnsi="宋体" w:eastAsia="仿宋_GB2312" w:cs="宋体"/>
          <w:color w:val="000000"/>
          <w:kern w:val="0"/>
          <w:sz w:val="32"/>
          <w:szCs w:val="32"/>
          <w:lang w:val="en-US" w:eastAsia="zh-CN"/>
        </w:rPr>
        <w:t>论文答辩未通过者，经答辩委员会全体成员半数以上通过，并作出决议，可在一年内修改论文、重新申请答辩一次；若答辩委员会未作出修改论文、重新答辩的决议，或申请人逾期未完成论文修改，或重新答辩仍未通过者，以后不再受理其答辩申请。</w:t>
      </w:r>
    </w:p>
    <w:p w14:paraId="3FF1B80A">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highlight w:val="yellow"/>
          <w:lang w:val="en-US" w:eastAsia="zh-CN"/>
        </w:rPr>
      </w:pPr>
      <w:r>
        <w:rPr>
          <w:rFonts w:hint="eastAsia" w:ascii="仿宋_GB2312" w:hAnsi="宋体" w:eastAsia="仿宋_GB2312" w:cs="宋体"/>
          <w:color w:val="000000"/>
          <w:kern w:val="0"/>
          <w:sz w:val="32"/>
          <w:szCs w:val="32"/>
          <w:highlight w:val="none"/>
          <w:lang w:val="en-US" w:eastAsia="zh-CN"/>
        </w:rPr>
        <w:t>（五）答</w:t>
      </w:r>
      <w:r>
        <w:rPr>
          <w:rFonts w:hint="eastAsia" w:ascii="仿宋_GB2312" w:hAnsi="宋体" w:eastAsia="仿宋_GB2312" w:cs="宋体"/>
          <w:color w:val="000000"/>
          <w:kern w:val="0"/>
          <w:sz w:val="32"/>
          <w:szCs w:val="32"/>
          <w:lang w:val="en-US" w:eastAsia="zh-CN"/>
        </w:rPr>
        <w:t>辩结束后，答辩委员会秘书须将答辩申请书、学位论文、论文评阅意见书、表决票、答辩会议记录、经答辩委员会主席签字的答辩委员会决议等资料整理，</w:t>
      </w:r>
      <w:r>
        <w:rPr>
          <w:rFonts w:hint="eastAsia" w:ascii="仿宋_GB2312" w:hAnsi="宋体" w:eastAsia="仿宋_GB2312" w:cs="宋体"/>
          <w:color w:val="auto"/>
          <w:kern w:val="0"/>
          <w:sz w:val="32"/>
          <w:szCs w:val="32"/>
          <w:highlight w:val="none"/>
          <w:lang w:val="en-US" w:eastAsia="zh-CN"/>
        </w:rPr>
        <w:t>按照相关归档要求存档。</w:t>
      </w:r>
    </w:p>
    <w:p w14:paraId="14966293">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b/>
          <w:bCs/>
          <w:color w:val="000000"/>
          <w:kern w:val="0"/>
          <w:sz w:val="32"/>
          <w:szCs w:val="32"/>
        </w:rPr>
        <w:t>第</w:t>
      </w:r>
      <w:r>
        <w:rPr>
          <w:rFonts w:hint="eastAsia" w:ascii="仿宋_GB2312" w:hAnsi="宋体" w:eastAsia="仿宋_GB2312" w:cs="宋体"/>
          <w:b/>
          <w:bCs/>
          <w:color w:val="000000"/>
          <w:kern w:val="0"/>
          <w:sz w:val="32"/>
          <w:szCs w:val="32"/>
          <w:lang w:val="en-US" w:eastAsia="zh-CN"/>
        </w:rPr>
        <w:t>十四</w:t>
      </w:r>
      <w:r>
        <w:rPr>
          <w:rFonts w:hint="eastAsia" w:ascii="仿宋_GB2312" w:hAnsi="宋体" w:eastAsia="仿宋_GB2312" w:cs="宋体"/>
          <w:b/>
          <w:bCs/>
          <w:color w:val="000000"/>
          <w:kern w:val="0"/>
          <w:sz w:val="32"/>
          <w:szCs w:val="32"/>
        </w:rPr>
        <w:t>条</w:t>
      </w:r>
      <w:r>
        <w:rPr>
          <w:rFonts w:hint="eastAsia" w:ascii="仿宋_GB2312" w:hAnsi="宋体" w:eastAsia="仿宋_GB2312" w:cs="宋体"/>
          <w:color w:val="000000"/>
          <w:kern w:val="0"/>
          <w:sz w:val="32"/>
          <w:szCs w:val="32"/>
          <w:lang w:val="en-US" w:eastAsia="zh-CN"/>
        </w:rPr>
        <w:t xml:space="preserve"> 学位评议与授予</w:t>
      </w:r>
    </w:p>
    <w:p w14:paraId="7F2C1D75">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（一）学位评定分委员会审议</w:t>
      </w:r>
    </w:p>
    <w:p w14:paraId="666B5DBC">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学位评定</w:t>
      </w:r>
      <w:r>
        <w:rPr>
          <w:rFonts w:hint="default" w:ascii="仿宋_GB2312" w:hAnsi="宋体" w:eastAsia="仿宋_GB2312" w:cs="宋体"/>
          <w:color w:val="000000"/>
          <w:kern w:val="0"/>
          <w:sz w:val="32"/>
          <w:szCs w:val="32"/>
          <w:lang w:val="en-US" w:eastAsia="zh-CN"/>
        </w:rPr>
        <w:t>分委员会原则上应以会议方式组织学位评定，须三分之二以上委员参加方为有效。分委员会按照硕士学位授予标准严格把关，对学位申请人的情况进行全面审查和综合评价，并以无记名投票方式表决，由全体组成人员的过半数通过方可作出建议授予</w:t>
      </w:r>
      <w:r>
        <w:rPr>
          <w:rFonts w:hint="eastAsia" w:ascii="仿宋_GB2312" w:hAnsi="宋体" w:eastAsia="仿宋_GB2312" w:cs="宋体"/>
          <w:color w:val="000000"/>
          <w:kern w:val="0"/>
          <w:sz w:val="32"/>
          <w:szCs w:val="32"/>
          <w:lang w:val="en-US" w:eastAsia="zh-CN"/>
        </w:rPr>
        <w:t>硕士</w:t>
      </w:r>
      <w:r>
        <w:rPr>
          <w:rFonts w:hint="default" w:ascii="仿宋_GB2312" w:hAnsi="宋体" w:eastAsia="仿宋_GB2312" w:cs="宋体"/>
          <w:color w:val="000000"/>
          <w:kern w:val="0"/>
          <w:sz w:val="32"/>
          <w:szCs w:val="32"/>
          <w:lang w:val="en-US" w:eastAsia="zh-CN"/>
        </w:rPr>
        <w:t>学位的决议。</w:t>
      </w:r>
    </w:p>
    <w:p w14:paraId="14ABEB4F">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（二）校学位评定委员会审批</w:t>
      </w:r>
    </w:p>
    <w:p w14:paraId="27B43A49">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学位评定</w:t>
      </w:r>
      <w:r>
        <w:rPr>
          <w:rFonts w:hint="default" w:ascii="仿宋_GB2312" w:hAnsi="宋体" w:eastAsia="仿宋_GB2312" w:cs="宋体"/>
          <w:color w:val="000000"/>
          <w:kern w:val="0"/>
          <w:sz w:val="32"/>
          <w:szCs w:val="32"/>
          <w:lang w:val="en-US" w:eastAsia="zh-CN"/>
        </w:rPr>
        <w:t>委员会应以会议方式组织学位评定，须三分之二以上委员参加方为有效。会议以无记名投票方式表决，由全体组成人员的过半数通过，方可作出授予学位的决议。</w:t>
      </w:r>
    </w:p>
    <w:p w14:paraId="5EBC8D7A">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jc w:val="center"/>
        <w:textAlignment w:val="auto"/>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 xml:space="preserve">第四章 </w:t>
      </w:r>
      <w:r>
        <w:rPr>
          <w:rFonts w:hint="default" w:ascii="黑体" w:hAnsi="黑体" w:eastAsia="黑体" w:cs="黑体"/>
          <w:b w:val="0"/>
          <w:bCs/>
          <w:color w:val="000000"/>
          <w:sz w:val="32"/>
          <w:szCs w:val="32"/>
          <w:lang w:val="en-US" w:eastAsia="zh-CN"/>
        </w:rPr>
        <w:t>博士学位</w:t>
      </w:r>
    </w:p>
    <w:p w14:paraId="67601C10">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第十五条</w:t>
      </w:r>
      <w:r>
        <w:rPr>
          <w:rFonts w:hint="eastAsia" w:ascii="仿宋_GB2312" w:eastAsia="仿宋_GB2312" w:cs="宋体"/>
          <w:b/>
          <w:bCs/>
          <w:color w:val="000000"/>
          <w:kern w:val="0"/>
          <w:sz w:val="32"/>
          <w:szCs w:val="32"/>
          <w:lang w:val="en-US" w:eastAsia="zh-CN" w:bidi="ar-SA"/>
        </w:rPr>
        <w:t xml:space="preserve"> </w:t>
      </w:r>
      <w:r>
        <w:rPr>
          <w:rFonts w:hint="eastAsia" w:ascii="仿宋_GB2312" w:hAnsi="宋体" w:eastAsia="仿宋_GB2312" w:cs="宋体"/>
          <w:color w:val="000000"/>
          <w:kern w:val="0"/>
          <w:sz w:val="32"/>
          <w:szCs w:val="32"/>
          <w:lang w:val="en-US" w:eastAsia="zh-CN" w:bidi="ar-SA"/>
        </w:rPr>
        <w:t>凡符合本细则第三条规定的攻读博士学位研究生，通过规定的课程考核或者修满相</w:t>
      </w:r>
      <w:r>
        <w:rPr>
          <w:rFonts w:hint="eastAsia" w:ascii="仿宋_GB2312" w:eastAsia="仿宋_GB2312" w:cs="宋体"/>
          <w:color w:val="000000"/>
          <w:kern w:val="0"/>
          <w:sz w:val="32"/>
          <w:szCs w:val="32"/>
          <w:lang w:val="en-US" w:eastAsia="zh-CN" w:bidi="ar-SA"/>
        </w:rPr>
        <w:t>应的</w:t>
      </w:r>
      <w:r>
        <w:rPr>
          <w:rFonts w:hint="eastAsia" w:ascii="仿宋_GB2312" w:hAnsi="宋体" w:eastAsia="仿宋_GB2312" w:cs="宋体"/>
          <w:color w:val="000000"/>
          <w:kern w:val="0"/>
          <w:sz w:val="32"/>
          <w:szCs w:val="32"/>
          <w:lang w:val="en-US" w:eastAsia="zh-CN" w:bidi="ar-SA"/>
        </w:rPr>
        <w:t>学分，完成学术研究训练或者专业实践训练，通过学位论文答辩或者规定的实践成果答辩，表明学位申请人达到下列水平的，授予博士学位：</w:t>
      </w:r>
    </w:p>
    <w:p w14:paraId="0AEB4F9F">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（一）在本学科或者专业领域掌握坚实全面的基础理论和系统深入的专门知识</w:t>
      </w:r>
      <w:r>
        <w:rPr>
          <w:rFonts w:hint="eastAsia" w:ascii="仿宋_GB2312" w:eastAsia="仿宋_GB2312" w:cs="宋体"/>
          <w:color w:val="000000"/>
          <w:kern w:val="0"/>
          <w:sz w:val="32"/>
          <w:szCs w:val="32"/>
          <w:lang w:val="en-US" w:eastAsia="zh-CN" w:bidi="ar-SA"/>
        </w:rPr>
        <w:t>；</w:t>
      </w:r>
    </w:p>
    <w:p w14:paraId="6733FE2C">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（二）学术学位申请人应当具有独立从事学术研究工作的能力，专业学位申请人应当具有独立承担专业实践工作的能力</w:t>
      </w:r>
      <w:r>
        <w:rPr>
          <w:rFonts w:hint="eastAsia" w:ascii="仿宋_GB2312" w:eastAsia="仿宋_GB2312" w:cs="宋体"/>
          <w:color w:val="000000"/>
          <w:kern w:val="0"/>
          <w:sz w:val="32"/>
          <w:szCs w:val="32"/>
          <w:lang w:val="en-US" w:eastAsia="zh-CN" w:bidi="ar-SA"/>
        </w:rPr>
        <w:t>；</w:t>
      </w:r>
    </w:p>
    <w:p w14:paraId="58433BD1">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highlight w:val="none"/>
          <w:lang w:val="en-US" w:eastAsia="zh-CN" w:bidi="ar-SA"/>
        </w:rPr>
      </w:pPr>
      <w:r>
        <w:rPr>
          <w:rFonts w:hint="eastAsia" w:ascii="仿宋_GB2312" w:hAnsi="宋体" w:eastAsia="仿宋_GB2312" w:cs="宋体"/>
          <w:color w:val="000000"/>
          <w:kern w:val="0"/>
          <w:sz w:val="32"/>
          <w:szCs w:val="32"/>
          <w:lang w:val="en-US" w:eastAsia="zh-CN" w:bidi="ar-SA"/>
        </w:rPr>
        <w:t>（三）</w:t>
      </w:r>
      <w:r>
        <w:rPr>
          <w:rFonts w:hint="eastAsia" w:ascii="仿宋_GB2312" w:hAnsi="宋体" w:eastAsia="仿宋_GB2312" w:cs="宋体"/>
          <w:color w:val="000000"/>
          <w:kern w:val="0"/>
          <w:sz w:val="32"/>
          <w:szCs w:val="32"/>
          <w:highlight w:val="none"/>
          <w:lang w:val="en-US" w:eastAsia="zh-CN" w:bidi="ar-SA"/>
        </w:rPr>
        <w:t>学术学位申请人应当在学术研究领域做出创新性成果，专业学位申请人应当在专业实践领域做出创新性成果；</w:t>
      </w:r>
    </w:p>
    <w:p w14:paraId="41C901C3">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highlight w:val="none"/>
          <w:lang w:val="en-US" w:eastAsia="zh-CN" w:bidi="ar-SA"/>
        </w:rPr>
        <w:t>（四）符合本学位点的学位授予条件。各学位点对论文发表或成果创造的具体要求</w:t>
      </w:r>
      <w:r>
        <w:rPr>
          <w:rFonts w:hint="eastAsia" w:ascii="仿宋_GB2312" w:hAnsi="宋体" w:eastAsia="仿宋_GB2312" w:cs="宋体"/>
          <w:color w:val="000000"/>
          <w:kern w:val="0"/>
          <w:sz w:val="32"/>
          <w:szCs w:val="32"/>
          <w:highlight w:val="none"/>
          <w:lang w:val="en-US" w:eastAsia="zh-CN"/>
        </w:rPr>
        <w:t>结合学</w:t>
      </w:r>
      <w:r>
        <w:rPr>
          <w:rFonts w:hint="eastAsia" w:ascii="仿宋_GB2312" w:hAnsi="宋体" w:eastAsia="仿宋_GB2312" w:cs="宋体"/>
          <w:color w:val="000000"/>
          <w:kern w:val="0"/>
          <w:sz w:val="32"/>
          <w:szCs w:val="32"/>
          <w:lang w:val="en-US" w:eastAsia="zh-CN"/>
        </w:rPr>
        <w:t>校相关规定自行制定</w:t>
      </w:r>
      <w:r>
        <w:rPr>
          <w:rFonts w:hint="eastAsia" w:ascii="仿宋_GB2312" w:hAnsi="宋体" w:eastAsia="仿宋_GB2312" w:cs="宋体"/>
          <w:color w:val="000000"/>
          <w:kern w:val="0"/>
          <w:sz w:val="32"/>
          <w:szCs w:val="32"/>
          <w:lang w:val="en-US" w:eastAsia="zh-CN" w:bidi="ar-SA"/>
        </w:rPr>
        <w:t>，经学位点所在学院学位评定分委员会通过后公开，并报校学位评定委员会备案。</w:t>
      </w:r>
      <w:r>
        <w:rPr>
          <w:rFonts w:hint="eastAsia" w:ascii="仿宋_GB2312" w:hAnsi="宋体" w:eastAsia="仿宋_GB2312" w:cs="宋体"/>
          <w:color w:val="000000"/>
          <w:kern w:val="0"/>
          <w:sz w:val="32"/>
          <w:szCs w:val="32"/>
          <w:lang w:val="en-US" w:eastAsia="zh-CN" w:bidi="ar-SA"/>
        </w:rPr>
        <w:br w:type="textWrapping"/>
      </w:r>
      <w:r>
        <w:rPr>
          <w:rFonts w:hint="eastAsia" w:ascii="仿宋_GB2312" w:hAnsi="宋体" w:eastAsia="仿宋_GB2312" w:cs="宋体"/>
          <w:color w:val="000000"/>
          <w:kern w:val="0"/>
          <w:sz w:val="32"/>
          <w:szCs w:val="32"/>
          <w:lang w:val="en-US" w:eastAsia="zh-CN" w:bidi="ar-SA"/>
        </w:rPr>
        <w:t xml:space="preserve">    </w:t>
      </w:r>
      <w:r>
        <w:rPr>
          <w:rFonts w:hint="eastAsia" w:ascii="仿宋_GB2312" w:hAnsi="宋体" w:eastAsia="仿宋_GB2312" w:cs="宋体"/>
          <w:b/>
          <w:bCs/>
          <w:color w:val="000000"/>
          <w:kern w:val="0"/>
          <w:sz w:val="32"/>
          <w:szCs w:val="32"/>
          <w:lang w:val="en-US" w:eastAsia="zh-CN" w:bidi="ar-SA"/>
        </w:rPr>
        <w:t>第十六条</w:t>
      </w:r>
      <w:r>
        <w:rPr>
          <w:rFonts w:hint="eastAsia" w:ascii="仿宋_GB2312" w:hAnsi="宋体" w:eastAsia="仿宋_GB2312" w:cs="宋体"/>
          <w:color w:val="000000"/>
          <w:kern w:val="0"/>
          <w:sz w:val="32"/>
          <w:szCs w:val="32"/>
          <w:lang w:val="en-US" w:eastAsia="zh-CN" w:bidi="ar-SA"/>
        </w:rPr>
        <w:t xml:space="preserve"> 课程学习要求</w:t>
      </w:r>
    </w:p>
    <w:p w14:paraId="4F59AF6A">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博士研究生在申请授予博士学位前须修完培养计划规定的课程，并获得规定的学分。其中，学位课程成绩不低于70分。</w:t>
      </w:r>
    </w:p>
    <w:p w14:paraId="6E18ED5B">
      <w:pPr>
        <w:keepNext w:val="0"/>
        <w:keepLines w:val="0"/>
        <w:pageBreakBefore w:val="0"/>
        <w:kinsoku/>
        <w:wordWrap/>
        <w:overflowPunct/>
        <w:topLinePunct w:val="0"/>
        <w:autoSpaceDE w:val="0"/>
        <w:autoSpaceDN w:val="0"/>
        <w:bidi w:val="0"/>
        <w:adjustRightInd w:val="0"/>
        <w:snapToGrid w:val="0"/>
        <w:spacing w:line="560" w:lineRule="exact"/>
        <w:ind w:left="0" w:firstLine="643"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第十七条</w:t>
      </w:r>
      <w:r>
        <w:rPr>
          <w:rFonts w:hint="eastAsia" w:ascii="仿宋_GB2312" w:hAnsi="宋体" w:eastAsia="仿宋_GB2312" w:cs="宋体"/>
          <w:color w:val="000000"/>
          <w:kern w:val="0"/>
          <w:sz w:val="32"/>
          <w:szCs w:val="32"/>
          <w:lang w:val="en-US" w:eastAsia="zh-CN" w:bidi="ar-SA"/>
        </w:rPr>
        <w:t xml:space="preserve"> 学位论文要求</w:t>
      </w:r>
    </w:p>
    <w:p w14:paraId="7C0A95A8">
      <w:pPr>
        <w:keepNext w:val="0"/>
        <w:keepLines w:val="0"/>
        <w:pageBreakBefore w:val="0"/>
        <w:kinsoku/>
        <w:wordWrap/>
        <w:overflowPunct/>
        <w:topLinePunct w:val="0"/>
        <w:autoSpaceDE w:val="0"/>
        <w:autoSpaceDN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一）学术学位博士学位论文应能表明作者确已掌握有关学科坚实宽厚的基础理论和系统深入的专门知识，具有独立从事科学研究或关键技术研究工作的能力，并在科学或专门技术上作出创新性、突破性的成果。论文应是系统而完整的科研成果的表述与总结。</w:t>
      </w:r>
    </w:p>
    <w:p w14:paraId="17092689">
      <w:pPr>
        <w:keepNext w:val="0"/>
        <w:keepLines w:val="0"/>
        <w:pageBreakBefore w:val="0"/>
        <w:kinsoku/>
        <w:wordWrap/>
        <w:overflowPunct/>
        <w:topLinePunct w:val="0"/>
        <w:autoSpaceDE w:val="0"/>
        <w:autoSpaceDN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专业学位博士学位论文的选题应来自相关类别、领域应用实践，论文的基本点应在实际应用中具有理论意义和实用价值，须参照国家相关专业学位教育指导委员会及学校有关规定。其中，工程类专业学位博士学位论文的选题应来自相关工程领域的重大、重点工程项目，并具有重要的工程应用价值。工程类专业学位博士学位论文内容应与解决重大工程技术问题、实现企业行业技术进步和推动产业升级紧密结合，可以是工程新技术研究、重大工程设计、新产品或新装置研制等。</w:t>
      </w:r>
    </w:p>
    <w:p w14:paraId="5D4664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val="0"/>
        <w:snapToGrid w:val="0"/>
        <w:spacing w:beforeAutospacing="0" w:afterAutospacing="0" w:line="560" w:lineRule="exact"/>
        <w:ind w:left="0" w:right="0" w:firstLine="640" w:firstLineChars="200"/>
        <w:jc w:val="both"/>
        <w:textAlignment w:val="auto"/>
        <w:rPr>
          <w:rFonts w:hint="default"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（二）</w:t>
      </w:r>
      <w:r>
        <w:rPr>
          <w:rFonts w:hint="default" w:ascii="仿宋_GB2312" w:hAnsi="宋体" w:eastAsia="仿宋_GB2312" w:cs="宋体"/>
          <w:color w:val="000000"/>
          <w:kern w:val="0"/>
          <w:sz w:val="32"/>
          <w:szCs w:val="32"/>
          <w:lang w:val="en-US" w:eastAsia="zh-CN" w:bidi="ar-SA"/>
        </w:rPr>
        <w:t>学位论文应在导师的指导下由本人独立完成，学位申请人在学位论文的研究、写作和学位申请过程中应当恪守学术道德和学术规范，严格遵守国家相关的</w:t>
      </w:r>
      <w:r>
        <w:rPr>
          <w:rFonts w:hint="eastAsia" w:ascii="仿宋_GB2312" w:hAnsi="宋体" w:eastAsia="仿宋_GB2312" w:cs="宋体"/>
          <w:color w:val="000000"/>
          <w:kern w:val="0"/>
          <w:sz w:val="32"/>
          <w:szCs w:val="32"/>
          <w:lang w:val="en-US" w:eastAsia="zh-CN" w:bidi="ar-SA"/>
        </w:rPr>
        <w:t>法律法规</w:t>
      </w:r>
      <w:r>
        <w:rPr>
          <w:rFonts w:hint="default" w:ascii="仿宋_GB2312" w:hAnsi="宋体" w:eastAsia="仿宋_GB2312" w:cs="宋体"/>
          <w:color w:val="000000"/>
          <w:kern w:val="0"/>
          <w:sz w:val="32"/>
          <w:szCs w:val="32"/>
          <w:lang w:val="en-US" w:eastAsia="zh-CN" w:bidi="ar-SA"/>
        </w:rPr>
        <w:t>及本校关于学术规范的相关规定，尊重知识产权，严谨治学，维护科学诚信</w:t>
      </w:r>
      <w:r>
        <w:rPr>
          <w:rFonts w:hint="eastAsia" w:ascii="仿宋_GB2312" w:hAnsi="宋体" w:eastAsia="仿宋_GB2312" w:cs="宋体"/>
          <w:color w:val="000000"/>
          <w:kern w:val="0"/>
          <w:sz w:val="32"/>
          <w:szCs w:val="32"/>
          <w:lang w:val="en-US" w:eastAsia="zh-CN" w:bidi="ar-SA"/>
        </w:rPr>
        <w:t>。</w:t>
      </w:r>
    </w:p>
    <w:p w14:paraId="18AB2EC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val="0"/>
        <w:snapToGrid w:val="0"/>
        <w:spacing w:beforeAutospacing="0" w:afterAutospacing="0" w:line="560" w:lineRule="exact"/>
        <w:ind w:left="0" w:righ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default" w:ascii="仿宋_GB2312" w:hAnsi="宋体" w:eastAsia="仿宋_GB2312" w:cs="宋体"/>
          <w:color w:val="000000"/>
          <w:kern w:val="0"/>
          <w:sz w:val="32"/>
          <w:szCs w:val="32"/>
          <w:lang w:val="en-US" w:eastAsia="zh-CN" w:bidi="ar-SA"/>
        </w:rPr>
        <w:t>（三）学位论文书写要符合《安徽建筑大学研究生学位论文撰写要求》的</w:t>
      </w:r>
      <w:r>
        <w:rPr>
          <w:rFonts w:hint="eastAsia" w:ascii="仿宋_GB2312" w:hAnsi="宋体" w:eastAsia="仿宋_GB2312" w:cs="宋体"/>
          <w:color w:val="000000"/>
          <w:kern w:val="0"/>
          <w:sz w:val="32"/>
          <w:szCs w:val="32"/>
          <w:lang w:val="en-US" w:eastAsia="zh-CN" w:bidi="ar-SA"/>
        </w:rPr>
        <w:t>规定</w:t>
      </w:r>
      <w:r>
        <w:rPr>
          <w:rFonts w:hint="default" w:ascii="仿宋_GB2312" w:hAnsi="宋体" w:eastAsia="仿宋_GB2312" w:cs="宋体"/>
          <w:color w:val="000000"/>
          <w:kern w:val="0"/>
          <w:sz w:val="32"/>
          <w:szCs w:val="32"/>
          <w:lang w:val="en-US" w:eastAsia="zh-CN" w:bidi="ar-SA"/>
        </w:rPr>
        <w:t>。</w:t>
      </w:r>
    </w:p>
    <w:p w14:paraId="42C8E80C">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第十八条</w:t>
      </w:r>
      <w:r>
        <w:rPr>
          <w:rFonts w:hint="eastAsia" w:ascii="仿宋_GB2312" w:hAnsi="宋体" w:eastAsia="仿宋_GB2312" w:cs="宋体"/>
          <w:color w:val="000000"/>
          <w:kern w:val="0"/>
          <w:sz w:val="32"/>
          <w:szCs w:val="32"/>
          <w:lang w:val="en-US" w:eastAsia="zh-CN" w:bidi="ar-SA"/>
        </w:rPr>
        <w:t xml:space="preserve"> 论文预答辩</w:t>
      </w:r>
    </w:p>
    <w:p w14:paraId="4F0D8D5C">
      <w:pPr>
        <w:keepNext w:val="0"/>
        <w:keepLines w:val="0"/>
        <w:pageBreakBefore w:val="0"/>
        <w:kinsoku/>
        <w:wordWrap/>
        <w:overflowPunct/>
        <w:topLinePunct w:val="0"/>
        <w:autoSpaceDE w:val="0"/>
        <w:autoSpaceDN w:val="0"/>
        <w:bidi w:val="0"/>
        <w:adjustRightInd w:val="0"/>
        <w:snapToGrid w:val="0"/>
        <w:spacing w:line="560" w:lineRule="exact"/>
        <w:ind w:left="0" w:firstLine="640" w:firstLineChars="200"/>
        <w:jc w:val="both"/>
        <w:textAlignment w:val="auto"/>
        <w:rPr>
          <w:rFonts w:hint="default"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博士学位论文预答辩按照</w:t>
      </w:r>
      <w:r>
        <w:rPr>
          <w:rFonts w:hint="default" w:ascii="仿宋_GB2312" w:hAnsi="宋体" w:eastAsia="仿宋_GB2312" w:cs="宋体"/>
          <w:color w:val="000000"/>
          <w:kern w:val="0"/>
          <w:sz w:val="32"/>
          <w:szCs w:val="32"/>
          <w:lang w:val="en-US" w:eastAsia="zh-CN" w:bidi="ar-SA"/>
        </w:rPr>
        <w:t>《</w:t>
      </w:r>
      <w:r>
        <w:rPr>
          <w:rFonts w:hint="eastAsia" w:ascii="仿宋_GB2312" w:hAnsi="宋体" w:eastAsia="仿宋_GB2312" w:cs="宋体"/>
          <w:color w:val="000000"/>
          <w:kern w:val="0"/>
          <w:sz w:val="32"/>
          <w:szCs w:val="32"/>
          <w:lang w:val="en-US" w:eastAsia="zh-CN" w:bidi="ar-SA"/>
        </w:rPr>
        <w:t>安徽建筑大学博士研究生学位论文预答辩管理办法（试行）</w:t>
      </w:r>
      <w:r>
        <w:rPr>
          <w:rFonts w:hint="default" w:ascii="仿宋_GB2312" w:hAnsi="宋体" w:eastAsia="仿宋_GB2312" w:cs="宋体"/>
          <w:color w:val="000000"/>
          <w:kern w:val="0"/>
          <w:sz w:val="32"/>
          <w:szCs w:val="32"/>
          <w:lang w:val="en-US" w:eastAsia="zh-CN" w:bidi="ar-SA"/>
        </w:rPr>
        <w:t>》</w:t>
      </w:r>
      <w:r>
        <w:rPr>
          <w:rFonts w:hint="eastAsia" w:ascii="仿宋_GB2312" w:hAnsi="宋体" w:eastAsia="仿宋_GB2312" w:cs="宋体"/>
          <w:color w:val="000000"/>
          <w:kern w:val="0"/>
          <w:sz w:val="32"/>
          <w:szCs w:val="32"/>
          <w:lang w:val="en-US" w:eastAsia="zh-CN" w:bidi="ar-SA"/>
        </w:rPr>
        <w:t>执行。</w:t>
      </w:r>
    </w:p>
    <w:p w14:paraId="029144F8">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第十九条</w:t>
      </w:r>
      <w:r>
        <w:rPr>
          <w:rFonts w:hint="eastAsia" w:ascii="仿宋_GB2312" w:hAnsi="宋体" w:eastAsia="仿宋_GB2312" w:cs="宋体"/>
          <w:color w:val="000000"/>
          <w:kern w:val="0"/>
          <w:sz w:val="32"/>
          <w:szCs w:val="32"/>
          <w:lang w:val="en-US" w:eastAsia="zh-CN" w:bidi="ar-SA"/>
        </w:rPr>
        <w:t xml:space="preserve"> 学位论文评阅</w:t>
      </w:r>
    </w:p>
    <w:p w14:paraId="75D70E95">
      <w:pPr>
        <w:keepNext w:val="0"/>
        <w:keepLines w:val="0"/>
        <w:pageBreakBefore w:val="0"/>
        <w:widowControl/>
        <w:kinsoku/>
        <w:wordWrap/>
        <w:overflowPunct/>
        <w:topLinePunct w:val="0"/>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（一）博士学位论文评阅前需进行文字复制比检测工作，复制比必须符合《安徽建筑大学研究生学位论文复制比检测和盲审实施办法》的规定；</w:t>
      </w:r>
    </w:p>
    <w:p w14:paraId="41E662A3">
      <w:pPr>
        <w:keepNext w:val="0"/>
        <w:keepLines w:val="0"/>
        <w:pageBreakBefore w:val="0"/>
        <w:widowControl/>
        <w:kinsoku/>
        <w:wordWrap/>
        <w:overflowPunct/>
        <w:topLinePunct w:val="0"/>
        <w:bidi w:val="0"/>
        <w:adjustRightInd w:val="0"/>
        <w:snapToGrid w:val="0"/>
        <w:spacing w:after="0" w:line="560" w:lineRule="exact"/>
        <w:ind w:firstLine="640" w:firstLineChars="200"/>
        <w:jc w:val="both"/>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（二）为保证学位授予质量，博士学位论文全部参加学校组织的“双盲”评审，评阅通过方可申请学位论文答辩。具体按照《安徽建筑大学研究生学位论文复制比检测和盲审实施办法》执行。</w:t>
      </w:r>
    </w:p>
    <w:p w14:paraId="64D3C031">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第二十条</w:t>
      </w:r>
      <w:r>
        <w:rPr>
          <w:rFonts w:hint="eastAsia" w:ascii="仿宋_GB2312" w:hAnsi="宋体" w:eastAsia="仿宋_GB2312" w:cs="宋体"/>
          <w:color w:val="000000"/>
          <w:kern w:val="0"/>
          <w:sz w:val="32"/>
          <w:szCs w:val="32"/>
          <w:highlight w:val="none"/>
          <w:lang w:val="en-US" w:eastAsia="zh-CN" w:bidi="ar-SA"/>
        </w:rPr>
        <w:t xml:space="preserve"> 学位论文答辩</w:t>
      </w:r>
    </w:p>
    <w:p w14:paraId="46C1A48D">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（一）答辩资格审查</w:t>
      </w:r>
    </w:p>
    <w:p w14:paraId="0123CF9F">
      <w:pPr>
        <w:keepNext w:val="0"/>
        <w:keepLines w:val="0"/>
        <w:pageBreakBefore w:val="0"/>
        <w:kinsoku/>
        <w:wordWrap/>
        <w:overflowPunct/>
        <w:topLinePunct w:val="0"/>
        <w:autoSpaceDE w:val="0"/>
        <w:autoSpaceDN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各学院学位评定分委员会对博士学位申请人的政治思想表现、课程学习情况、科研与实践成果及学位论文水平等进行全面审查，答辩资格审查合格后，由学院学位评定分委员会聘请专家组建学位论文答辩委员会，进行论文答辩。</w:t>
      </w:r>
    </w:p>
    <w:p w14:paraId="2611DE3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lang w:val="en-US" w:eastAsia="zh-CN" w:bidi="ar-SA"/>
        </w:rPr>
      </w:pPr>
      <w:r>
        <w:rPr>
          <w:rFonts w:hint="default" w:ascii="仿宋_GB2312" w:hAnsi="宋体" w:eastAsia="仿宋_GB2312" w:cs="宋体"/>
          <w:color w:val="000000"/>
          <w:kern w:val="0"/>
          <w:sz w:val="32"/>
          <w:szCs w:val="32"/>
          <w:lang w:val="en-US" w:eastAsia="zh-CN" w:bidi="ar-SA"/>
        </w:rPr>
        <w:t>（</w:t>
      </w:r>
      <w:r>
        <w:rPr>
          <w:rFonts w:hint="eastAsia" w:ascii="仿宋_GB2312" w:hAnsi="宋体" w:eastAsia="仿宋_GB2312" w:cs="宋体"/>
          <w:color w:val="000000"/>
          <w:kern w:val="0"/>
          <w:sz w:val="32"/>
          <w:szCs w:val="32"/>
          <w:lang w:val="en-US" w:eastAsia="zh-CN" w:bidi="ar-SA"/>
        </w:rPr>
        <w:t>二</w:t>
      </w:r>
      <w:r>
        <w:rPr>
          <w:rFonts w:hint="default" w:ascii="仿宋_GB2312" w:hAnsi="宋体" w:eastAsia="仿宋_GB2312" w:cs="宋体"/>
          <w:color w:val="000000"/>
          <w:kern w:val="0"/>
          <w:sz w:val="32"/>
          <w:szCs w:val="32"/>
          <w:lang w:val="en-US" w:eastAsia="zh-CN" w:bidi="ar-SA"/>
        </w:rPr>
        <w:t>）答辩委员会的组成</w:t>
      </w:r>
    </w:p>
    <w:p w14:paraId="481A7DDF">
      <w:pPr>
        <w:keepNext w:val="0"/>
        <w:keepLines w:val="0"/>
        <w:pageBreakBefore w:val="0"/>
        <w:kinsoku/>
        <w:wordWrap/>
        <w:overflowPunct/>
        <w:topLinePunct w:val="0"/>
        <w:autoSpaceDE w:val="0"/>
        <w:autoSpaceDN w:val="0"/>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default" w:ascii="仿宋_GB2312" w:hAnsi="宋体" w:eastAsia="仿宋_GB2312" w:cs="宋体"/>
          <w:color w:val="000000"/>
          <w:kern w:val="0"/>
          <w:sz w:val="32"/>
          <w:szCs w:val="32"/>
          <w:lang w:val="en-US" w:eastAsia="zh-CN" w:bidi="ar-SA"/>
        </w:rPr>
        <w:t>博士</w:t>
      </w:r>
      <w:r>
        <w:rPr>
          <w:rFonts w:hint="eastAsia" w:ascii="仿宋_GB2312" w:hAnsi="宋体" w:eastAsia="仿宋_GB2312" w:cs="宋体"/>
          <w:color w:val="000000"/>
          <w:kern w:val="0"/>
          <w:sz w:val="32"/>
          <w:szCs w:val="32"/>
          <w:lang w:val="en-US" w:eastAsia="zh-CN" w:bidi="ar-SA"/>
        </w:rPr>
        <w:t>学位论文答辩委员会由5位或7位教授级同行专家组成。成员中博士生导师应占三分之二以上，且外单位的专家应不少于2位。</w:t>
      </w:r>
      <w:r>
        <w:rPr>
          <w:rFonts w:hint="default" w:ascii="仿宋_GB2312" w:hAnsi="宋体" w:eastAsia="仿宋_GB2312" w:cs="宋体"/>
          <w:color w:val="000000"/>
          <w:kern w:val="0"/>
          <w:sz w:val="32"/>
          <w:szCs w:val="32"/>
          <w:lang w:val="en-US" w:eastAsia="zh-CN" w:bidi="ar-SA"/>
        </w:rPr>
        <w:t>答辩委员会主席由外单位具有相近学科博士学位授权点的博士</w:t>
      </w:r>
      <w:r>
        <w:rPr>
          <w:rFonts w:hint="default" w:ascii="仿宋_GB2312" w:hAnsi="宋体" w:eastAsia="仿宋_GB2312" w:cs="宋体"/>
          <w:color w:val="000000"/>
          <w:kern w:val="0"/>
          <w:sz w:val="32"/>
          <w:szCs w:val="32"/>
          <w:highlight w:val="none"/>
          <w:lang w:val="en-US" w:eastAsia="zh-CN" w:bidi="ar-SA"/>
        </w:rPr>
        <w:t>生导师担任</w:t>
      </w:r>
      <w:r>
        <w:rPr>
          <w:rFonts w:hint="eastAsia" w:ascii="仿宋_GB2312" w:hAnsi="宋体" w:eastAsia="仿宋_GB2312" w:cs="宋体"/>
          <w:color w:val="000000"/>
          <w:kern w:val="0"/>
          <w:sz w:val="32"/>
          <w:szCs w:val="32"/>
          <w:highlight w:val="none"/>
          <w:lang w:val="en-US" w:eastAsia="zh-CN" w:bidi="ar-SA"/>
        </w:rPr>
        <w:t>。学位申请人的导师不</w:t>
      </w:r>
      <w:r>
        <w:rPr>
          <w:rFonts w:hint="eastAsia" w:ascii="仿宋_GB2312" w:hAnsi="宋体" w:eastAsia="仿宋_GB2312" w:cs="宋体"/>
          <w:color w:val="000000"/>
          <w:kern w:val="0"/>
          <w:sz w:val="32"/>
          <w:szCs w:val="32"/>
          <w:lang w:val="en-US" w:eastAsia="zh-CN" w:bidi="ar-SA"/>
        </w:rPr>
        <w:t>得兼任答辩委员会成员。</w:t>
      </w:r>
      <w:r>
        <w:rPr>
          <w:rFonts w:hint="default" w:ascii="仿宋_GB2312" w:hAnsi="宋体" w:eastAsia="仿宋_GB2312" w:cs="宋体"/>
          <w:color w:val="000000"/>
          <w:kern w:val="0"/>
          <w:sz w:val="32"/>
          <w:szCs w:val="32"/>
          <w:lang w:val="en-US" w:eastAsia="zh-CN" w:bidi="ar-SA"/>
        </w:rPr>
        <w:t>答辩委员会设秘书1人，由博士学位获得者或具有中级及以上职称的人员担任，</w:t>
      </w:r>
      <w:r>
        <w:rPr>
          <w:rFonts w:hint="eastAsia" w:ascii="仿宋_GB2312" w:hAnsi="宋体" w:eastAsia="仿宋_GB2312" w:cs="宋体"/>
          <w:color w:val="000000"/>
          <w:kern w:val="0"/>
          <w:sz w:val="32"/>
          <w:szCs w:val="32"/>
          <w:lang w:val="en-US" w:eastAsia="zh-CN" w:bidi="ar-SA"/>
        </w:rPr>
        <w:t>负责详细记录答辩过程中委员的提问、论文作者的回答以及答辩委员会的评议等情况，并处理答辩过程中的事务性工作。</w:t>
      </w:r>
    </w:p>
    <w:p w14:paraId="3EED6F62">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 xml:space="preserve">（三）博士学位论文答辩议程 </w:t>
      </w:r>
    </w:p>
    <w:p w14:paraId="0992C631">
      <w:pPr>
        <w:keepNext w:val="0"/>
        <w:keepLines w:val="0"/>
        <w:pageBreakBefore w:val="0"/>
        <w:widowControl/>
        <w:suppressLineNumbers w:val="0"/>
        <w:kinsoku/>
        <w:wordWrap/>
        <w:overflowPunct/>
        <w:topLinePunct w:val="0"/>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 xml:space="preserve">1.答辩委员会主席宣布答辩委员会组成人员名单，主持答辩会各项议程； </w:t>
      </w:r>
    </w:p>
    <w:p w14:paraId="37000376">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2.导师简要介绍答辩人的学习成绩及科研方面的主要情况；</w:t>
      </w:r>
    </w:p>
    <w:p w14:paraId="3E096A3B">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3.答辩人使用 PPT 汇报论文的主要内容，</w:t>
      </w:r>
      <w:r>
        <w:rPr>
          <w:rFonts w:hint="eastAsia" w:ascii="仿宋_GB2312" w:hAnsi="宋体" w:eastAsia="仿宋_GB2312" w:cs="宋体"/>
          <w:color w:val="auto"/>
          <w:kern w:val="0"/>
          <w:sz w:val="32"/>
          <w:szCs w:val="32"/>
          <w:highlight w:val="none"/>
          <w:lang w:val="en-US" w:eastAsia="zh-CN" w:bidi="ar-SA"/>
        </w:rPr>
        <w:t>时间一般不少于30分钟</w:t>
      </w:r>
      <w:r>
        <w:rPr>
          <w:rFonts w:hint="eastAsia" w:ascii="仿宋_GB2312" w:hAnsi="宋体" w:eastAsia="仿宋_GB2312" w:cs="宋体"/>
          <w:color w:val="000000"/>
          <w:kern w:val="0"/>
          <w:sz w:val="32"/>
          <w:szCs w:val="32"/>
          <w:lang w:val="en-US" w:eastAsia="zh-CN" w:bidi="ar-SA"/>
        </w:rPr>
        <w:t xml:space="preserve">； </w:t>
      </w:r>
    </w:p>
    <w:p w14:paraId="07E3ECB8">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 xml:space="preserve">4.委员及列席人员提问，答辩人答辩； </w:t>
      </w:r>
    </w:p>
    <w:p w14:paraId="25B3B22E">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 xml:space="preserve">5.答辩委员会审议（非答辩委员会成员退场回避），宣读导师和评阅人的学术评语，对论文及答辩情况进行评议，以无记名投票方式对是否通过答辩进行表决，全体委员的三分之二以上赞成票，方为通过答辩； </w:t>
      </w:r>
    </w:p>
    <w:p w14:paraId="355BCC96">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6.复会，主席宣布表决结果和答辩委员会决议。</w:t>
      </w:r>
    </w:p>
    <w:p w14:paraId="67E19660">
      <w:pPr>
        <w:keepNext w:val="0"/>
        <w:keepLines w:val="0"/>
        <w:pageBreakBefore w:val="0"/>
        <w:widowControl/>
        <w:suppressLineNumbers w:val="0"/>
        <w:kinsoku/>
        <w:wordWrap/>
        <w:overflowPunct/>
        <w:topLinePunct w:val="0"/>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四）论文答辩不通过者，经答辩委员会同意，可在两个月后至两年内修改论文后重新答辩一次。若答辩委员会未作出修改论文、重新举行答辩的决议，或申请人逾期未完成论文修改，或申请人重新答辩仍不通过者，不再受理其博士学位申请。答辩（含重新答辩）时间须在博士生最长学习年限内。</w:t>
      </w:r>
    </w:p>
    <w:p w14:paraId="2A1ED57D">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firstLine="640" w:firstLineChars="200"/>
        <w:jc w:val="both"/>
        <w:textAlignment w:val="auto"/>
        <w:rPr>
          <w:rFonts w:hint="eastAsia" w:ascii="仿宋_GB2312" w:hAnsi="宋体" w:eastAsia="仿宋_GB2312" w:cs="宋体"/>
          <w:color w:val="auto"/>
          <w:kern w:val="0"/>
          <w:sz w:val="32"/>
          <w:szCs w:val="32"/>
          <w:highlight w:val="none"/>
          <w:lang w:val="en-US" w:eastAsia="zh-CN" w:bidi="ar-SA"/>
        </w:rPr>
      </w:pPr>
      <w:r>
        <w:rPr>
          <w:rFonts w:hint="eastAsia" w:ascii="仿宋_GB2312" w:hAnsi="宋体" w:eastAsia="仿宋_GB2312" w:cs="宋体"/>
          <w:color w:val="000000"/>
          <w:kern w:val="0"/>
          <w:sz w:val="32"/>
          <w:szCs w:val="32"/>
          <w:lang w:val="en-US" w:eastAsia="zh-CN" w:bidi="ar-SA"/>
        </w:rPr>
        <w:t>（五）答辩结束后，答辩委员会秘书须将答辩申请书、学位论文、论文评阅意见书、表决票、答辩会议记录、经答辩委员会主席签字的答辩委员会决议等资料整理，</w:t>
      </w:r>
      <w:r>
        <w:rPr>
          <w:rFonts w:hint="eastAsia" w:ascii="仿宋_GB2312" w:hAnsi="宋体" w:eastAsia="仿宋_GB2312" w:cs="宋体"/>
          <w:color w:val="auto"/>
          <w:kern w:val="0"/>
          <w:sz w:val="32"/>
          <w:szCs w:val="32"/>
          <w:highlight w:val="none"/>
          <w:lang w:val="en-US" w:eastAsia="zh-CN"/>
        </w:rPr>
        <w:t>按照相关归档要求存档</w:t>
      </w:r>
      <w:r>
        <w:rPr>
          <w:rFonts w:hint="eastAsia" w:ascii="仿宋_GB2312" w:eastAsia="仿宋_GB2312" w:cs="宋体"/>
          <w:color w:val="auto"/>
          <w:kern w:val="0"/>
          <w:sz w:val="32"/>
          <w:szCs w:val="32"/>
          <w:highlight w:val="none"/>
          <w:lang w:val="en-US" w:eastAsia="zh-CN"/>
        </w:rPr>
        <w:t>。</w:t>
      </w:r>
    </w:p>
    <w:p w14:paraId="07B4D765">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第二十一条</w:t>
      </w:r>
      <w:r>
        <w:rPr>
          <w:rFonts w:hint="eastAsia" w:ascii="仿宋_GB2312" w:hAnsi="宋体" w:eastAsia="仿宋_GB2312" w:cs="宋体"/>
          <w:color w:val="000000"/>
          <w:kern w:val="0"/>
          <w:sz w:val="32"/>
          <w:szCs w:val="32"/>
          <w:lang w:val="en-US" w:eastAsia="zh-CN" w:bidi="ar-SA"/>
        </w:rPr>
        <w:t xml:space="preserve"> 学位评议与授予</w:t>
      </w:r>
    </w:p>
    <w:p w14:paraId="766E60E8">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（一）学位评定分委员会审议</w:t>
      </w:r>
    </w:p>
    <w:p w14:paraId="424E1100">
      <w:pPr>
        <w:keepNext w:val="0"/>
        <w:keepLines w:val="0"/>
        <w:pageBreakBefore w:val="0"/>
        <w:kinsoku/>
        <w:wordWrap/>
        <w:overflowPunct/>
        <w:topLinePunct w:val="0"/>
        <w:autoSpaceDE w:val="0"/>
        <w:autoSpaceDN w:val="0"/>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学位评定</w:t>
      </w:r>
      <w:r>
        <w:rPr>
          <w:rFonts w:hint="default" w:ascii="仿宋_GB2312" w:hAnsi="宋体" w:eastAsia="仿宋_GB2312" w:cs="宋体"/>
          <w:color w:val="000000"/>
          <w:kern w:val="0"/>
          <w:sz w:val="32"/>
          <w:szCs w:val="32"/>
          <w:lang w:val="en-US" w:eastAsia="zh-CN" w:bidi="ar-SA"/>
        </w:rPr>
        <w:t>分委员会原则上应以会议方式组织学位评定，须三分之二以上委员参加方为有效。分委员会按照博士学位授予标准严格把关，对学位申请人的情况进行全面审查和综合评价，并以无记名投票方式表决，由全体组成人员的过半数通过方可作出建议授予</w:t>
      </w:r>
      <w:r>
        <w:rPr>
          <w:rFonts w:hint="eastAsia" w:ascii="仿宋_GB2312" w:hAnsi="宋体" w:eastAsia="仿宋_GB2312" w:cs="宋体"/>
          <w:color w:val="000000"/>
          <w:kern w:val="0"/>
          <w:sz w:val="32"/>
          <w:szCs w:val="32"/>
          <w:lang w:val="en-US" w:eastAsia="zh-CN" w:bidi="ar-SA"/>
        </w:rPr>
        <w:t>博士</w:t>
      </w:r>
      <w:r>
        <w:rPr>
          <w:rFonts w:hint="default" w:ascii="仿宋_GB2312" w:hAnsi="宋体" w:eastAsia="仿宋_GB2312" w:cs="宋体"/>
          <w:color w:val="000000"/>
          <w:kern w:val="0"/>
          <w:sz w:val="32"/>
          <w:szCs w:val="32"/>
          <w:lang w:val="en-US" w:eastAsia="zh-CN" w:bidi="ar-SA"/>
        </w:rPr>
        <w:t>学位的决议。</w:t>
      </w:r>
    </w:p>
    <w:p w14:paraId="4801D6DD">
      <w:pPr>
        <w:keepNext w:val="0"/>
        <w:keepLines w:val="0"/>
        <w:pageBreakBefore w:val="0"/>
        <w:widowControl/>
        <w:suppressLineNumbers w:val="0"/>
        <w:kinsoku/>
        <w:wordWrap/>
        <w:overflowPunct/>
        <w:topLinePunct w:val="0"/>
        <w:bidi w:val="0"/>
        <w:adjustRightInd w:val="0"/>
        <w:snapToGrid w:val="0"/>
        <w:spacing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（二）校学位评定委员会审批</w:t>
      </w:r>
    </w:p>
    <w:p w14:paraId="474B308A">
      <w:pPr>
        <w:keepNext w:val="0"/>
        <w:keepLines w:val="0"/>
        <w:pageBreakBefore w:val="0"/>
        <w:kinsoku/>
        <w:wordWrap/>
        <w:overflowPunct/>
        <w:topLinePunct w:val="0"/>
        <w:autoSpaceDE w:val="0"/>
        <w:autoSpaceDN w:val="0"/>
        <w:bidi w:val="0"/>
        <w:adjustRightInd w:val="0"/>
        <w:snapToGrid w:val="0"/>
        <w:spacing w:line="560" w:lineRule="exact"/>
        <w:ind w:left="0" w:firstLine="640" w:firstLineChars="200"/>
        <w:jc w:val="both"/>
        <w:textAlignment w:val="auto"/>
        <w:rPr>
          <w:rFonts w:hint="default"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学位评定</w:t>
      </w:r>
      <w:r>
        <w:rPr>
          <w:rFonts w:hint="default" w:ascii="仿宋_GB2312" w:hAnsi="宋体" w:eastAsia="仿宋_GB2312" w:cs="宋体"/>
          <w:color w:val="000000"/>
          <w:kern w:val="0"/>
          <w:sz w:val="32"/>
          <w:szCs w:val="32"/>
          <w:lang w:val="en-US" w:eastAsia="zh-CN" w:bidi="ar-SA"/>
        </w:rPr>
        <w:t>委员会应以会议方式组织学位评定，须三分之二以上委员参加方为有效。会议以无记名投票方式表决，由全体组成人员的过半数通过，方可作出授予学位的决议。</w:t>
      </w:r>
    </w:p>
    <w:p w14:paraId="5687DCAE">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jc w:val="center"/>
        <w:textAlignment w:val="auto"/>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第五章 有关异议处理</w:t>
      </w:r>
    </w:p>
    <w:p w14:paraId="23007FD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right="0" w:firstLine="643" w:firstLineChars="200"/>
        <w:jc w:val="both"/>
        <w:textAlignment w:val="auto"/>
        <w:rPr>
          <w:rFonts w:hint="default" w:ascii="仿宋_GB2312" w:hAnsi="宋体" w:eastAsia="仿宋_GB2312" w:cs="宋体"/>
          <w:color w:val="auto"/>
          <w:kern w:val="0"/>
          <w:sz w:val="32"/>
          <w:szCs w:val="32"/>
          <w:lang w:val="en-US" w:eastAsia="zh-CN" w:bidi="ar-SA"/>
        </w:rPr>
      </w:pPr>
      <w:r>
        <w:rPr>
          <w:rFonts w:hint="eastAsia" w:ascii="仿宋_GB2312" w:hAnsi="宋体" w:eastAsia="仿宋_GB2312" w:cs="宋体"/>
          <w:b/>
          <w:bCs/>
          <w:color w:val="auto"/>
          <w:kern w:val="0"/>
          <w:sz w:val="32"/>
          <w:szCs w:val="32"/>
          <w:lang w:val="en-US" w:eastAsia="zh-CN" w:bidi="ar-SA"/>
        </w:rPr>
        <w:t>第二十二条</w:t>
      </w:r>
      <w:r>
        <w:rPr>
          <w:rFonts w:hint="eastAsia" w:ascii="仿宋_GB2312" w:hAnsi="宋体" w:eastAsia="仿宋_GB2312" w:cs="宋体"/>
          <w:color w:val="auto"/>
          <w:kern w:val="0"/>
          <w:sz w:val="32"/>
          <w:szCs w:val="32"/>
          <w:lang w:val="en-US" w:eastAsia="zh-CN" w:bidi="ar-SA"/>
        </w:rPr>
        <w:t xml:space="preserve"> 学位申请人对专家评阅、答辩、成果认定等过程中相关学术组织或者人员作出的学术评价结论有异议的，可以在收到书面决定之日起7个工作日内向学校申请学术复核。学校组织相关专家对学术复核申请进行审议，并在受理学术复核申请之日起三十日内作出复核决定，复核决定为最终决定。</w:t>
      </w:r>
    </w:p>
    <w:p w14:paraId="62C1007E">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第二十</w:t>
      </w:r>
      <w:r>
        <w:rPr>
          <w:rFonts w:hint="eastAsia" w:ascii="仿宋_GB2312" w:eastAsia="仿宋_GB2312" w:cs="宋体"/>
          <w:b/>
          <w:bCs/>
          <w:color w:val="000000"/>
          <w:kern w:val="0"/>
          <w:sz w:val="32"/>
          <w:szCs w:val="32"/>
          <w:lang w:val="en-US" w:eastAsia="zh-CN" w:bidi="ar-SA"/>
        </w:rPr>
        <w:t>三</w:t>
      </w:r>
      <w:r>
        <w:rPr>
          <w:rFonts w:hint="eastAsia" w:ascii="仿宋_GB2312" w:hAnsi="宋体" w:eastAsia="仿宋_GB2312" w:cs="宋体"/>
          <w:b/>
          <w:bCs/>
          <w:color w:val="000000"/>
          <w:kern w:val="0"/>
          <w:sz w:val="32"/>
          <w:szCs w:val="32"/>
          <w:lang w:val="en-US" w:eastAsia="zh-CN" w:bidi="ar-SA"/>
        </w:rPr>
        <w:t>条</w:t>
      </w:r>
      <w:r>
        <w:rPr>
          <w:rFonts w:hint="eastAsia" w:ascii="仿宋_GB2312" w:hAnsi="宋体" w:eastAsia="仿宋_GB2312" w:cs="宋体"/>
          <w:color w:val="000000"/>
          <w:kern w:val="0"/>
          <w:sz w:val="32"/>
          <w:szCs w:val="32"/>
          <w:lang w:val="en-US" w:eastAsia="zh-CN" w:bidi="ar-SA"/>
        </w:rPr>
        <w:t xml:space="preserve"> 学位申请人、学位获得者在攻读该学位过程中存在学术不端或有以下情形的，经学位评定委员会决议，应作出不授予学位或者撤销学位处理。</w:t>
      </w:r>
      <w:r>
        <w:rPr>
          <w:rFonts w:hint="eastAsia" w:ascii="仿宋_GB2312" w:hAnsi="宋体" w:eastAsia="仿宋_GB2312" w:cs="宋体"/>
          <w:color w:val="000000"/>
          <w:kern w:val="0"/>
          <w:sz w:val="32"/>
          <w:szCs w:val="32"/>
          <w:lang w:val="en-US" w:eastAsia="zh-CN" w:bidi="ar-SA"/>
        </w:rPr>
        <w:br w:type="textWrapping"/>
      </w:r>
      <w:r>
        <w:rPr>
          <w:rFonts w:hint="eastAsia" w:ascii="仿宋_GB2312" w:hAnsi="宋体" w:eastAsia="仿宋_GB2312" w:cs="宋体"/>
          <w:color w:val="000000"/>
          <w:kern w:val="0"/>
          <w:sz w:val="32"/>
          <w:szCs w:val="32"/>
          <w:lang w:val="en-US" w:eastAsia="zh-CN" w:bidi="ar-SA"/>
        </w:rPr>
        <w:t xml:space="preserve">    （一）学位论文或者实践成果被认定为存在代写、剽窃、伪造等学术不端行为； </w:t>
      </w:r>
    </w:p>
    <w:p w14:paraId="63BDC9E8">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 xml:space="preserve">（二）盗用、冒用他人身份，顶替他人取得的入学资格，或者以其他非法手段取得入学资格、毕业证书； </w:t>
      </w:r>
    </w:p>
    <w:p w14:paraId="7C7E718A">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0" w:firstLineChars="200"/>
        <w:jc w:val="both"/>
        <w:textAlignment w:val="auto"/>
        <w:rPr>
          <w:rFonts w:hint="eastAsia" w:ascii="仿宋_GB2312" w:hAnsi="宋体" w:eastAsia="仿宋_GB2312" w:cs="宋体"/>
          <w:color w:val="000000"/>
          <w:kern w:val="0"/>
          <w:sz w:val="32"/>
          <w:szCs w:val="32"/>
          <w:lang w:val="en-US" w:eastAsia="zh-CN" w:bidi="ar-SA"/>
        </w:rPr>
      </w:pPr>
      <w:r>
        <w:rPr>
          <w:rFonts w:hint="eastAsia" w:ascii="仿宋_GB2312" w:hAnsi="宋体" w:eastAsia="仿宋_GB2312" w:cs="宋体"/>
          <w:color w:val="000000"/>
          <w:kern w:val="0"/>
          <w:sz w:val="32"/>
          <w:szCs w:val="32"/>
          <w:lang w:val="en-US" w:eastAsia="zh-CN" w:bidi="ar-SA"/>
        </w:rPr>
        <w:t>（三）攻读期间存在依法不应当授予学位的其他严重违法行为</w:t>
      </w:r>
      <w:r>
        <w:rPr>
          <w:rFonts w:hint="eastAsia" w:ascii="仿宋_GB2312" w:eastAsia="仿宋_GB2312" w:cs="宋体"/>
          <w:color w:val="000000"/>
          <w:kern w:val="0"/>
          <w:sz w:val="32"/>
          <w:szCs w:val="32"/>
          <w:lang w:val="en-US" w:eastAsia="zh-CN" w:bidi="ar-SA"/>
        </w:rPr>
        <w:t>；</w:t>
      </w:r>
      <w:r>
        <w:rPr>
          <w:rFonts w:hint="eastAsia" w:ascii="仿宋_GB2312" w:hAnsi="宋体" w:eastAsia="仿宋_GB2312" w:cs="宋体"/>
          <w:color w:val="000000"/>
          <w:kern w:val="0"/>
          <w:sz w:val="32"/>
          <w:szCs w:val="32"/>
          <w:lang w:val="en-US" w:eastAsia="zh-CN" w:bidi="ar-SA"/>
        </w:rPr>
        <w:br w:type="textWrapping"/>
      </w:r>
      <w:r>
        <w:rPr>
          <w:rFonts w:hint="eastAsia" w:ascii="仿宋_GB2312" w:hAnsi="宋体" w:eastAsia="仿宋_GB2312" w:cs="宋体"/>
          <w:color w:val="000000"/>
          <w:kern w:val="0"/>
          <w:sz w:val="32"/>
          <w:szCs w:val="32"/>
          <w:lang w:val="en-US" w:eastAsia="zh-CN" w:bidi="ar-SA"/>
        </w:rPr>
        <w:t xml:space="preserve">    （四）上级主管部门规定的其他须撤销学位的情形。</w:t>
      </w:r>
    </w:p>
    <w:p w14:paraId="58F472A1">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宋体" w:eastAsia="仿宋_GB2312" w:cs="宋体"/>
          <w:color w:val="000000"/>
          <w:kern w:val="0"/>
          <w:sz w:val="32"/>
          <w:szCs w:val="32"/>
          <w:highlight w:val="none"/>
          <w:lang w:val="en-US" w:eastAsia="zh-CN" w:bidi="ar-SA"/>
        </w:rPr>
      </w:pPr>
      <w:r>
        <w:rPr>
          <w:rFonts w:hint="eastAsia" w:ascii="仿宋_GB2312" w:hAnsi="宋体" w:eastAsia="仿宋_GB2312" w:cs="宋体"/>
          <w:b/>
          <w:bCs/>
          <w:color w:val="auto"/>
          <w:kern w:val="0"/>
          <w:sz w:val="32"/>
          <w:szCs w:val="32"/>
          <w:lang w:val="en-US" w:eastAsia="zh-CN" w:bidi="ar-SA"/>
        </w:rPr>
        <w:t>第二十</w:t>
      </w:r>
      <w:r>
        <w:rPr>
          <w:rFonts w:hint="eastAsia" w:ascii="仿宋_GB2312" w:eastAsia="仿宋_GB2312" w:cs="宋体"/>
          <w:b/>
          <w:bCs/>
          <w:color w:val="auto"/>
          <w:kern w:val="0"/>
          <w:sz w:val="32"/>
          <w:szCs w:val="32"/>
          <w:lang w:val="en-US" w:eastAsia="zh-CN" w:bidi="ar-SA"/>
        </w:rPr>
        <w:t>四</w:t>
      </w:r>
      <w:r>
        <w:rPr>
          <w:rFonts w:hint="eastAsia" w:ascii="仿宋_GB2312" w:hAnsi="宋体" w:eastAsia="仿宋_GB2312" w:cs="宋体"/>
          <w:b/>
          <w:bCs/>
          <w:color w:val="auto"/>
          <w:kern w:val="0"/>
          <w:sz w:val="32"/>
          <w:szCs w:val="32"/>
          <w:lang w:val="en-US" w:eastAsia="zh-CN" w:bidi="ar-SA"/>
        </w:rPr>
        <w:t>条</w:t>
      </w:r>
      <w:r>
        <w:rPr>
          <w:rFonts w:hint="eastAsia" w:ascii="仿宋_GB2312" w:hAnsi="宋体" w:eastAsia="仿宋_GB2312" w:cs="宋体"/>
          <w:color w:val="auto"/>
          <w:kern w:val="0"/>
          <w:sz w:val="32"/>
          <w:szCs w:val="32"/>
          <w:lang w:val="en-US" w:eastAsia="zh-CN" w:bidi="ar-SA"/>
        </w:rPr>
        <w:t xml:space="preserve"> </w:t>
      </w:r>
      <w:r>
        <w:rPr>
          <w:rFonts w:hint="eastAsia" w:ascii="仿宋_GB2312" w:hAnsi="宋体" w:eastAsia="仿宋_GB2312" w:cs="宋体"/>
          <w:color w:val="000000"/>
          <w:kern w:val="0"/>
          <w:sz w:val="32"/>
          <w:szCs w:val="32"/>
          <w:highlight w:val="none"/>
          <w:lang w:val="en-US" w:eastAsia="zh-CN" w:bidi="ar-SA"/>
        </w:rPr>
        <w:t>学位申请人或者学位获得者对不受理其学位申请、不授予其学位或者撤销其学位等行为不服的，可以向学位授予单位申请复核，或者请求有关机关依照法律规定处理。</w:t>
      </w:r>
    </w:p>
    <w:p w14:paraId="31E09B36">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firstLine="640" w:firstLineChars="200"/>
        <w:jc w:val="both"/>
        <w:textAlignment w:val="auto"/>
        <w:rPr>
          <w:rFonts w:hint="eastAsia" w:ascii="仿宋_GB2312" w:hAnsi="宋体" w:eastAsia="仿宋_GB2312" w:cs="宋体"/>
          <w:color w:val="000000"/>
          <w:kern w:val="0"/>
          <w:sz w:val="32"/>
          <w:szCs w:val="32"/>
          <w:highlight w:val="none"/>
          <w:lang w:val="en-US" w:eastAsia="zh-CN" w:bidi="ar-SA"/>
        </w:rPr>
      </w:pPr>
      <w:r>
        <w:rPr>
          <w:rFonts w:hint="eastAsia" w:ascii="仿宋_GB2312" w:hAnsi="宋体" w:eastAsia="仿宋_GB2312" w:cs="宋体"/>
          <w:color w:val="auto"/>
          <w:kern w:val="0"/>
          <w:sz w:val="32"/>
          <w:szCs w:val="32"/>
          <w:highlight w:val="none"/>
          <w:lang w:val="en-US" w:eastAsia="zh-CN" w:bidi="ar-SA"/>
        </w:rPr>
        <w:t>学位申请人</w:t>
      </w:r>
      <w:r>
        <w:rPr>
          <w:rFonts w:hint="eastAsia" w:ascii="仿宋_GB2312" w:eastAsia="仿宋_GB2312" w:cs="宋体"/>
          <w:color w:val="auto"/>
          <w:kern w:val="0"/>
          <w:sz w:val="32"/>
          <w:szCs w:val="32"/>
          <w:highlight w:val="none"/>
          <w:lang w:val="en-US" w:eastAsia="zh-CN" w:bidi="ar-SA"/>
        </w:rPr>
        <w:t>或者学位获得者</w:t>
      </w:r>
      <w:r>
        <w:rPr>
          <w:rFonts w:hint="eastAsia" w:ascii="仿宋_GB2312" w:hAnsi="宋体" w:eastAsia="仿宋_GB2312" w:cs="宋体"/>
          <w:color w:val="auto"/>
          <w:kern w:val="0"/>
          <w:sz w:val="32"/>
          <w:szCs w:val="32"/>
          <w:highlight w:val="none"/>
          <w:lang w:val="en-US" w:eastAsia="zh-CN" w:bidi="ar-SA"/>
        </w:rPr>
        <w:t>对</w:t>
      </w:r>
      <w:r>
        <w:rPr>
          <w:rFonts w:hint="eastAsia" w:ascii="仿宋_GB2312" w:hAnsi="宋体" w:eastAsia="仿宋_GB2312" w:cs="宋体"/>
          <w:color w:val="000000"/>
          <w:kern w:val="0"/>
          <w:sz w:val="32"/>
          <w:szCs w:val="32"/>
          <w:highlight w:val="none"/>
          <w:lang w:val="en-US" w:eastAsia="zh-CN" w:bidi="ar-SA"/>
        </w:rPr>
        <w:t>不受理其学位申请</w:t>
      </w:r>
      <w:r>
        <w:rPr>
          <w:rFonts w:hint="eastAsia" w:ascii="仿宋_GB2312" w:eastAsia="仿宋_GB2312" w:cs="宋体"/>
          <w:color w:val="000000"/>
          <w:kern w:val="0"/>
          <w:sz w:val="32"/>
          <w:szCs w:val="32"/>
          <w:highlight w:val="none"/>
          <w:lang w:val="en-US" w:eastAsia="zh-CN" w:bidi="ar-SA"/>
        </w:rPr>
        <w:t>、</w:t>
      </w:r>
      <w:r>
        <w:rPr>
          <w:rFonts w:hint="eastAsia" w:ascii="仿宋_GB2312" w:hAnsi="宋体" w:eastAsia="仿宋_GB2312" w:cs="宋体"/>
          <w:color w:val="auto"/>
          <w:kern w:val="0"/>
          <w:sz w:val="32"/>
          <w:szCs w:val="32"/>
          <w:highlight w:val="none"/>
          <w:lang w:val="en-US" w:eastAsia="zh-CN" w:bidi="ar-SA"/>
        </w:rPr>
        <w:t>不授予</w:t>
      </w:r>
      <w:r>
        <w:rPr>
          <w:rFonts w:hint="eastAsia" w:ascii="仿宋_GB2312" w:eastAsia="仿宋_GB2312" w:cs="宋体"/>
          <w:color w:val="auto"/>
          <w:kern w:val="0"/>
          <w:sz w:val="32"/>
          <w:szCs w:val="32"/>
          <w:highlight w:val="none"/>
          <w:lang w:val="en-US" w:eastAsia="zh-CN" w:bidi="ar-SA"/>
        </w:rPr>
        <w:t>其</w:t>
      </w:r>
      <w:r>
        <w:rPr>
          <w:rFonts w:hint="eastAsia" w:ascii="仿宋_GB2312" w:hAnsi="宋体" w:eastAsia="仿宋_GB2312" w:cs="宋体"/>
          <w:color w:val="auto"/>
          <w:kern w:val="0"/>
          <w:sz w:val="32"/>
          <w:szCs w:val="32"/>
          <w:highlight w:val="none"/>
          <w:lang w:val="en-US" w:eastAsia="zh-CN" w:bidi="ar-SA"/>
        </w:rPr>
        <w:t>学位</w:t>
      </w:r>
      <w:r>
        <w:rPr>
          <w:rFonts w:hint="eastAsia" w:ascii="仿宋_GB2312" w:eastAsia="仿宋_GB2312" w:cs="宋体"/>
          <w:color w:val="auto"/>
          <w:kern w:val="0"/>
          <w:sz w:val="32"/>
          <w:szCs w:val="32"/>
          <w:highlight w:val="none"/>
          <w:lang w:val="en-US" w:eastAsia="zh-CN" w:bidi="ar-SA"/>
        </w:rPr>
        <w:t>或者撤销其学位</w:t>
      </w:r>
      <w:r>
        <w:rPr>
          <w:rFonts w:hint="eastAsia" w:ascii="仿宋_GB2312" w:hAnsi="宋体" w:eastAsia="仿宋_GB2312" w:cs="宋体"/>
          <w:color w:val="auto"/>
          <w:kern w:val="0"/>
          <w:sz w:val="32"/>
          <w:szCs w:val="32"/>
          <w:highlight w:val="none"/>
          <w:lang w:val="en-US" w:eastAsia="zh-CN" w:bidi="ar-SA"/>
        </w:rPr>
        <w:t>的决定</w:t>
      </w:r>
      <w:r>
        <w:rPr>
          <w:rFonts w:hint="eastAsia" w:ascii="仿宋_GB2312" w:eastAsia="仿宋_GB2312" w:cs="宋体"/>
          <w:color w:val="auto"/>
          <w:kern w:val="0"/>
          <w:sz w:val="32"/>
          <w:szCs w:val="32"/>
          <w:highlight w:val="none"/>
          <w:lang w:val="en-US" w:eastAsia="zh-CN" w:bidi="ar-SA"/>
        </w:rPr>
        <w:t>申请复核的</w:t>
      </w:r>
      <w:r>
        <w:rPr>
          <w:rFonts w:hint="eastAsia" w:ascii="仿宋_GB2312" w:hAnsi="宋体" w:eastAsia="仿宋_GB2312" w:cs="宋体"/>
          <w:color w:val="auto"/>
          <w:kern w:val="0"/>
          <w:sz w:val="32"/>
          <w:szCs w:val="32"/>
          <w:highlight w:val="none"/>
          <w:lang w:val="en-US" w:eastAsia="zh-CN" w:bidi="ar-SA"/>
        </w:rPr>
        <w:t>，可在决定公布之日起15日内，以书面形式向校学位评定委员会</w:t>
      </w:r>
      <w:r>
        <w:rPr>
          <w:rFonts w:hint="eastAsia" w:ascii="仿宋_GB2312" w:eastAsia="仿宋_GB2312" w:cs="宋体"/>
          <w:color w:val="auto"/>
          <w:kern w:val="0"/>
          <w:sz w:val="32"/>
          <w:szCs w:val="32"/>
          <w:highlight w:val="none"/>
          <w:lang w:val="en-US" w:eastAsia="zh-CN" w:bidi="ar-SA"/>
        </w:rPr>
        <w:t>提出</w:t>
      </w:r>
      <w:r>
        <w:rPr>
          <w:rFonts w:hint="eastAsia" w:ascii="仿宋_GB2312" w:hAnsi="宋体" w:eastAsia="仿宋_GB2312" w:cs="宋体"/>
          <w:color w:val="auto"/>
          <w:kern w:val="0"/>
          <w:sz w:val="32"/>
          <w:szCs w:val="32"/>
          <w:highlight w:val="none"/>
          <w:lang w:val="en-US" w:eastAsia="zh-CN" w:bidi="ar-SA"/>
        </w:rPr>
        <w:t>复核申请。校学位评定委员会应当在收到复核申请之日起</w:t>
      </w:r>
      <w:r>
        <w:rPr>
          <w:rFonts w:hint="eastAsia" w:ascii="仿宋_GB2312" w:eastAsia="仿宋_GB2312" w:cs="宋体"/>
          <w:color w:val="auto"/>
          <w:kern w:val="0"/>
          <w:sz w:val="32"/>
          <w:szCs w:val="32"/>
          <w:highlight w:val="none"/>
          <w:lang w:val="en-US" w:eastAsia="zh-CN" w:bidi="ar-SA"/>
        </w:rPr>
        <w:t>三十</w:t>
      </w:r>
      <w:r>
        <w:rPr>
          <w:rFonts w:hint="eastAsia" w:ascii="仿宋_GB2312" w:hAnsi="宋体" w:eastAsia="仿宋_GB2312" w:cs="宋体"/>
          <w:color w:val="auto"/>
          <w:kern w:val="0"/>
          <w:sz w:val="32"/>
          <w:szCs w:val="32"/>
          <w:highlight w:val="none"/>
          <w:lang w:val="en-US" w:eastAsia="zh-CN" w:bidi="ar-SA"/>
        </w:rPr>
        <w:t xml:space="preserve">日内作出复核决定，复核决定应送达复核申请人。 </w:t>
      </w:r>
    </w:p>
    <w:p w14:paraId="0B008182">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jc w:val="center"/>
        <w:textAlignment w:val="auto"/>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第六章 其 他</w:t>
      </w:r>
    </w:p>
    <w:p w14:paraId="27E1DE1E">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第二十五条</w:t>
      </w:r>
      <w:r>
        <w:rPr>
          <w:rFonts w:hint="eastAsia" w:ascii="仿宋_GB2312" w:hAnsi="仿宋_GB2312" w:eastAsia="仿宋_GB2312" w:cs="仿宋_GB2312"/>
          <w:color w:val="000000"/>
          <w:kern w:val="0"/>
          <w:sz w:val="32"/>
          <w:szCs w:val="32"/>
          <w:lang w:val="en-US" w:eastAsia="zh-CN" w:bidi="ar-SA"/>
        </w:rPr>
        <w:t xml:space="preserve"> 名誉博士学位授予，按国家学位条例及有关规定办理。</w:t>
      </w:r>
    </w:p>
    <w:p w14:paraId="32E01C23">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第二十六条</w:t>
      </w:r>
      <w:r>
        <w:rPr>
          <w:rFonts w:hint="eastAsia" w:ascii="仿宋_GB2312" w:hAnsi="仿宋_GB2312" w:eastAsia="仿宋_GB2312" w:cs="仿宋_GB2312"/>
          <w:color w:val="000000"/>
          <w:kern w:val="0"/>
          <w:sz w:val="32"/>
          <w:szCs w:val="32"/>
          <w:lang w:val="en-US" w:eastAsia="zh-CN" w:bidi="ar-SA"/>
        </w:rPr>
        <w:t xml:space="preserve"> 学位证书在校学位评定委员会作出授予学位的决定后颁发，证书时间按校学位评定委员会批准授予学位的日期填写。学位证书遗失或损坏，经本人申请，校学位评定委员会办公室核实后可出具相应的“学位证明书”。学位证明书应注明原学位证书编号等内容。学位证明书与学位证书具有同等效力。</w:t>
      </w:r>
    </w:p>
    <w:p w14:paraId="15F0F013">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43" w:firstLineChars="200"/>
        <w:jc w:val="both"/>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第二十七条</w:t>
      </w:r>
      <w:r>
        <w:rPr>
          <w:rFonts w:hint="eastAsia" w:ascii="仿宋_GB2312" w:hAnsi="仿宋_GB2312" w:eastAsia="仿宋_GB2312" w:cs="仿宋_GB2312"/>
          <w:color w:val="000000"/>
          <w:kern w:val="0"/>
          <w:sz w:val="32"/>
          <w:szCs w:val="32"/>
          <w:lang w:val="en-US" w:eastAsia="zh-CN" w:bidi="ar-SA"/>
        </w:rPr>
        <w:t xml:space="preserve"> 本办法自发布之日起施行，原《安徽建筑大学硕士学位授予工作实施细则》</w:t>
      </w:r>
      <w:r>
        <w:rPr>
          <w:rFonts w:hint="eastAsia" w:ascii="仿宋_GB2312" w:hAnsi="仿宋_GB2312" w:eastAsia="仿宋_GB2312" w:cs="仿宋_GB2312"/>
          <w:color w:val="000000"/>
          <w:kern w:val="0"/>
          <w:sz w:val="32"/>
          <w:szCs w:val="32"/>
          <w:lang w:val="en-US" w:eastAsia="zh-CN" w:bidi="ar-SA"/>
        </w:rPr>
        <w:fldChar w:fldCharType="begin"/>
      </w:r>
      <w:r>
        <w:rPr>
          <w:rFonts w:hint="eastAsia" w:ascii="仿宋_GB2312" w:hAnsi="仿宋_GB2312" w:eastAsia="仿宋_GB2312" w:cs="仿宋_GB2312"/>
          <w:color w:val="000000"/>
          <w:kern w:val="0"/>
          <w:sz w:val="32"/>
          <w:szCs w:val="32"/>
          <w:lang w:val="en-US" w:eastAsia="zh-CN" w:bidi="ar-SA"/>
        </w:rPr>
        <w:instrText xml:space="preserve"> HYPERLINK "https://www.ahjzu.edu.cn/_upload/article/files/32/d5/cd28cb894f6d90bdd526b868f5e1/6834f729-d53c-4711-96a9-7c58a9ff88e9.pdf" </w:instrText>
      </w:r>
      <w:r>
        <w:rPr>
          <w:rFonts w:hint="eastAsia" w:ascii="仿宋_GB2312" w:hAnsi="仿宋_GB2312" w:eastAsia="仿宋_GB2312" w:cs="仿宋_GB2312"/>
          <w:color w:val="000000"/>
          <w:kern w:val="0"/>
          <w:sz w:val="32"/>
          <w:szCs w:val="32"/>
          <w:lang w:val="en-US" w:eastAsia="zh-CN" w:bidi="ar-SA"/>
        </w:rPr>
        <w:fldChar w:fldCharType="separate"/>
      </w:r>
      <w:r>
        <w:rPr>
          <w:rFonts w:hint="eastAsia" w:ascii="仿宋_GB2312" w:hAnsi="仿宋_GB2312" w:eastAsia="仿宋_GB2312" w:cs="仿宋_GB2312"/>
          <w:color w:val="000000"/>
          <w:kern w:val="0"/>
          <w:sz w:val="32"/>
          <w:szCs w:val="32"/>
          <w:lang w:val="en-US" w:eastAsia="zh-CN" w:bidi="ar-SA"/>
        </w:rPr>
        <w:t>(校字〔2017〕107号）</w:t>
      </w:r>
      <w:r>
        <w:rPr>
          <w:rFonts w:hint="eastAsia" w:ascii="仿宋_GB2312" w:hAnsi="仿宋_GB2312" w:eastAsia="仿宋_GB2312" w:cs="仿宋_GB2312"/>
          <w:color w:val="000000"/>
          <w:kern w:val="0"/>
          <w:sz w:val="32"/>
          <w:szCs w:val="32"/>
          <w:lang w:val="en-US" w:eastAsia="zh-CN" w:bidi="ar-SA"/>
        </w:rPr>
        <w:fldChar w:fldCharType="end"/>
      </w:r>
      <w:r>
        <w:rPr>
          <w:rFonts w:hint="eastAsia" w:ascii="仿宋_GB2312" w:hAnsi="仿宋_GB2312" w:eastAsia="仿宋_GB2312" w:cs="仿宋_GB2312"/>
          <w:color w:val="000000"/>
          <w:kern w:val="0"/>
          <w:sz w:val="32"/>
          <w:szCs w:val="32"/>
          <w:lang w:val="en-US" w:eastAsia="zh-CN" w:bidi="ar-SA"/>
        </w:rPr>
        <w:t>、《安徽建筑大学授予博士学位工作办法（试行）》</w:t>
      </w:r>
      <w:r>
        <w:rPr>
          <w:rFonts w:hint="eastAsia" w:ascii="仿宋_GB2312" w:hAnsi="仿宋_GB2312" w:eastAsia="仿宋_GB2312" w:cs="仿宋_GB2312"/>
          <w:color w:val="000000"/>
          <w:kern w:val="0"/>
          <w:sz w:val="32"/>
          <w:szCs w:val="32"/>
          <w:lang w:val="en-US" w:eastAsia="zh-CN" w:bidi="ar-SA"/>
        </w:rPr>
        <w:fldChar w:fldCharType="begin"/>
      </w:r>
      <w:r>
        <w:rPr>
          <w:rFonts w:hint="eastAsia" w:ascii="仿宋_GB2312" w:hAnsi="仿宋_GB2312" w:eastAsia="仿宋_GB2312" w:cs="仿宋_GB2312"/>
          <w:color w:val="000000"/>
          <w:kern w:val="0"/>
          <w:sz w:val="32"/>
          <w:szCs w:val="32"/>
          <w:lang w:val="en-US" w:eastAsia="zh-CN" w:bidi="ar-SA"/>
        </w:rPr>
        <w:instrText xml:space="preserve"> HYPERLINK "https://www.ahjzu.edu.cn/_upload/article/files/32/d5/cd28cb894f6d90bdd526b868f5e1/6834f729-d53c-4711-96a9-7c58a9ff88e9.pdf" </w:instrText>
      </w:r>
      <w:r>
        <w:rPr>
          <w:rFonts w:hint="eastAsia" w:ascii="仿宋_GB2312" w:hAnsi="仿宋_GB2312" w:eastAsia="仿宋_GB2312" w:cs="仿宋_GB2312"/>
          <w:color w:val="000000"/>
          <w:kern w:val="0"/>
          <w:sz w:val="32"/>
          <w:szCs w:val="32"/>
          <w:lang w:val="en-US" w:eastAsia="zh-CN" w:bidi="ar-SA"/>
        </w:rPr>
        <w:fldChar w:fldCharType="separate"/>
      </w:r>
      <w:r>
        <w:rPr>
          <w:rFonts w:hint="eastAsia" w:ascii="仿宋_GB2312" w:hAnsi="仿宋_GB2312" w:eastAsia="仿宋_GB2312" w:cs="仿宋_GB2312"/>
          <w:color w:val="000000"/>
          <w:kern w:val="0"/>
          <w:sz w:val="32"/>
          <w:szCs w:val="32"/>
          <w:lang w:val="en-US" w:eastAsia="zh-CN" w:bidi="ar-SA"/>
        </w:rPr>
        <w:t>（校字〔2022〕100号）</w:t>
      </w:r>
      <w:r>
        <w:rPr>
          <w:rFonts w:hint="eastAsia" w:ascii="仿宋_GB2312" w:hAnsi="仿宋_GB2312" w:eastAsia="仿宋_GB2312" w:cs="仿宋_GB2312"/>
          <w:color w:val="000000"/>
          <w:kern w:val="0"/>
          <w:sz w:val="32"/>
          <w:szCs w:val="32"/>
          <w:lang w:val="en-US" w:eastAsia="zh-CN" w:bidi="ar-SA"/>
        </w:rPr>
        <w:fldChar w:fldCharType="end"/>
      </w:r>
      <w:r>
        <w:rPr>
          <w:rFonts w:hint="eastAsia" w:ascii="仿宋_GB2312" w:hAnsi="仿宋_GB2312" w:eastAsia="仿宋_GB2312" w:cs="仿宋_GB2312"/>
          <w:color w:val="000000"/>
          <w:kern w:val="0"/>
          <w:sz w:val="32"/>
          <w:szCs w:val="32"/>
          <w:lang w:val="en-US" w:eastAsia="zh-CN" w:bidi="ar-SA"/>
        </w:rPr>
        <w:t>同时废止。由研究生院负责解释。</w:t>
      </w:r>
    </w:p>
    <w:bookmarkEnd w:id="8"/>
    <w:p w14:paraId="07A05C50">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00" w:firstLineChars="200"/>
        <w:jc w:val="both"/>
        <w:textAlignment w:val="auto"/>
        <w:rPr>
          <w:rFonts w:hint="eastAsia" w:ascii="仿宋_GB2312" w:hAnsi="宋体" w:eastAsia="仿宋_GB2312" w:cs="宋体"/>
          <w:kern w:val="0"/>
          <w:sz w:val="30"/>
          <w:szCs w:val="30"/>
          <w:lang w:val="en-US" w:eastAsia="zh-CN" w:bidi="ar-SA"/>
        </w:rPr>
      </w:pPr>
    </w:p>
    <w:p w14:paraId="352ED0BB">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00" w:firstLineChars="200"/>
        <w:jc w:val="both"/>
        <w:textAlignment w:val="auto"/>
        <w:rPr>
          <w:rFonts w:hint="eastAsia" w:ascii="仿宋_GB2312" w:hAnsi="宋体" w:eastAsia="仿宋_GB2312" w:cs="宋体"/>
          <w:kern w:val="0"/>
          <w:sz w:val="30"/>
          <w:szCs w:val="30"/>
          <w:lang w:val="en-US" w:eastAsia="zh-CN" w:bidi="ar-SA"/>
        </w:rPr>
      </w:pPr>
    </w:p>
    <w:p w14:paraId="2F0931CF">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firstLine="600" w:firstLineChars="200"/>
        <w:jc w:val="both"/>
        <w:textAlignment w:val="auto"/>
        <w:rPr>
          <w:rFonts w:hint="eastAsia" w:ascii="仿宋_GB2312" w:hAnsi="宋体" w:eastAsia="仿宋_GB2312" w:cs="宋体"/>
          <w:kern w:val="0"/>
          <w:sz w:val="30"/>
          <w:szCs w:val="30"/>
          <w:lang w:val="en-US" w:eastAsia="zh-CN" w:bidi="ar-SA"/>
        </w:rPr>
      </w:pPr>
    </w:p>
    <w:bookmarkEnd w:id="3"/>
    <w:p w14:paraId="5DAE3157">
      <w:pPr>
        <w:keepNext w:val="0"/>
        <w:keepLines w:val="0"/>
        <w:pageBreakBefore w:val="0"/>
        <w:widowControl/>
        <w:kinsoku/>
        <w:wordWrap/>
        <w:topLinePunct w:val="0"/>
        <w:bidi w:val="0"/>
        <w:spacing w:line="560" w:lineRule="exact"/>
        <w:ind w:firstLine="320" w:firstLineChars="100"/>
        <w:jc w:val="left"/>
        <w:textAlignment w:val="auto"/>
        <w:rPr>
          <w:rFonts w:ascii="仿宋_GB2312" w:hAnsi="宋体" w:cs="宋体"/>
          <w:kern w:val="0"/>
          <w:szCs w:val="32"/>
        </w:rPr>
      </w:pPr>
      <w:r>
        <w:rPr>
          <w:rFonts w:hint="eastAsia" w:ascii="仿宋_GB2312" w:hAnsi="宋体" w:cs="宋体"/>
          <w:kern w:val="0"/>
          <w:szCs w:val="32"/>
        </w:rPr>
        <w:t xml:space="preserve"> </w:t>
      </w:r>
      <w:r>
        <w:rPr>
          <w:rFonts w:ascii="仿宋_GB2312" w:hAnsi="宋体" w:cs="宋体"/>
          <w:kern w:val="0"/>
          <w:szCs w:val="32"/>
        </w:rPr>
        <w:t xml:space="preserve">  </w:t>
      </w:r>
    </w:p>
    <w:p w14:paraId="7EA7C220">
      <w:pPr>
        <w:keepNext w:val="0"/>
        <w:keepLines w:val="0"/>
        <w:pageBreakBefore w:val="0"/>
        <w:widowControl/>
        <w:shd w:val="clear" w:color="auto" w:fill="FFFFFF"/>
        <w:kinsoku/>
        <w:wordWrap/>
        <w:topLinePunct w:val="0"/>
        <w:bidi w:val="0"/>
        <w:spacing w:line="560" w:lineRule="exact"/>
        <w:jc w:val="left"/>
        <w:textAlignment w:val="auto"/>
        <w:rPr>
          <w:rFonts w:ascii="仿宋_GB2312" w:hAnsi="微软雅黑" w:cs="仿宋_GB2312"/>
          <w:kern w:val="0"/>
          <w:szCs w:val="32"/>
          <w:shd w:val="clear" w:color="auto" w:fill="FFFFFF"/>
          <w:lang w:bidi="ar"/>
        </w:rPr>
      </w:pPr>
    </w:p>
    <w:p w14:paraId="04CF3892">
      <w:pPr>
        <w:keepNext w:val="0"/>
        <w:keepLines w:val="0"/>
        <w:pageBreakBefore w:val="0"/>
        <w:widowControl/>
        <w:shd w:val="clear" w:color="auto" w:fill="FFFFFF"/>
        <w:kinsoku/>
        <w:wordWrap/>
        <w:topLinePunct w:val="0"/>
        <w:bidi w:val="0"/>
        <w:spacing w:line="560" w:lineRule="exact"/>
        <w:jc w:val="left"/>
        <w:textAlignment w:val="auto"/>
        <w:rPr>
          <w:rFonts w:ascii="仿宋_GB2312" w:hAnsi="微软雅黑" w:cs="仿宋_GB2312"/>
          <w:kern w:val="0"/>
          <w:szCs w:val="32"/>
          <w:shd w:val="clear" w:color="auto" w:fill="FFFFFF"/>
          <w:lang w:bidi="ar"/>
        </w:rPr>
      </w:pPr>
    </w:p>
    <w:p w14:paraId="1CB9DEBB">
      <w:pPr>
        <w:widowControl/>
        <w:shd w:val="clear" w:color="auto" w:fill="FFFFFF"/>
        <w:spacing w:line="560" w:lineRule="exact"/>
        <w:jc w:val="left"/>
        <w:rPr>
          <w:rFonts w:ascii="仿宋_GB2312" w:hAnsi="微软雅黑" w:cs="仿宋_GB2312"/>
          <w:kern w:val="0"/>
          <w:szCs w:val="32"/>
          <w:shd w:val="clear" w:color="auto" w:fill="FFFFFF"/>
          <w:lang w:bidi="ar"/>
        </w:rPr>
      </w:pPr>
    </w:p>
    <w:p w14:paraId="21A26D6C">
      <w:pPr>
        <w:widowControl/>
        <w:shd w:val="clear" w:color="auto" w:fill="FFFFFF"/>
        <w:spacing w:line="560" w:lineRule="exact"/>
        <w:jc w:val="left"/>
        <w:rPr>
          <w:rFonts w:ascii="仿宋_GB2312" w:hAnsi="微软雅黑" w:cs="仿宋_GB2312"/>
          <w:kern w:val="0"/>
          <w:szCs w:val="32"/>
          <w:shd w:val="clear" w:color="auto" w:fill="FFFFFF"/>
          <w:lang w:bidi="ar"/>
        </w:rPr>
      </w:pPr>
    </w:p>
    <w:p w14:paraId="6F4C98A1">
      <w:pPr>
        <w:widowControl/>
        <w:shd w:val="clear" w:color="auto" w:fill="FFFFFF"/>
        <w:spacing w:line="560" w:lineRule="exact"/>
        <w:jc w:val="left"/>
        <w:rPr>
          <w:rFonts w:ascii="仿宋_GB2312" w:hAnsi="微软雅黑" w:cs="仿宋_GB2312"/>
          <w:kern w:val="0"/>
          <w:szCs w:val="32"/>
          <w:shd w:val="clear" w:color="auto" w:fill="FFFFFF"/>
          <w:lang w:bidi="ar"/>
        </w:rPr>
      </w:pPr>
    </w:p>
    <w:p w14:paraId="688854DE">
      <w:pPr>
        <w:widowControl/>
        <w:shd w:val="clear" w:color="auto" w:fill="FFFFFF"/>
        <w:spacing w:line="560" w:lineRule="exact"/>
        <w:jc w:val="left"/>
        <w:rPr>
          <w:rFonts w:ascii="仿宋_GB2312" w:hAnsi="微软雅黑" w:cs="仿宋_GB2312"/>
          <w:kern w:val="0"/>
          <w:szCs w:val="32"/>
          <w:shd w:val="clear" w:color="auto" w:fill="FFFFFF"/>
          <w:lang w:bidi="ar"/>
        </w:rPr>
      </w:pPr>
    </w:p>
    <w:p w14:paraId="512CB691">
      <w:pPr>
        <w:widowControl/>
        <w:shd w:val="clear" w:color="auto" w:fill="FFFFFF"/>
        <w:spacing w:line="560" w:lineRule="exact"/>
        <w:jc w:val="left"/>
        <w:rPr>
          <w:rFonts w:ascii="仿宋_GB2312" w:hAnsi="微软雅黑" w:cs="仿宋_GB2312"/>
          <w:kern w:val="0"/>
          <w:szCs w:val="32"/>
          <w:shd w:val="clear" w:color="auto" w:fill="FFFFFF"/>
          <w:lang w:bidi="ar"/>
        </w:rPr>
      </w:pPr>
    </w:p>
    <w:p w14:paraId="3B64C46C">
      <w:pPr>
        <w:widowControl/>
        <w:shd w:val="clear" w:color="auto" w:fill="FFFFFF"/>
        <w:spacing w:line="560" w:lineRule="exact"/>
        <w:jc w:val="left"/>
        <w:rPr>
          <w:rFonts w:ascii="仿宋_GB2312" w:hAnsi="微软雅黑" w:cs="仿宋_GB2312"/>
          <w:kern w:val="0"/>
          <w:szCs w:val="32"/>
          <w:shd w:val="clear" w:color="auto" w:fill="FFFFFF"/>
          <w:lang w:bidi="ar"/>
        </w:rPr>
      </w:pPr>
    </w:p>
    <w:p w14:paraId="440639A7">
      <w:pPr>
        <w:widowControl/>
        <w:shd w:val="clear" w:color="auto" w:fill="FFFFFF"/>
        <w:spacing w:line="560" w:lineRule="exact"/>
        <w:jc w:val="left"/>
        <w:rPr>
          <w:rFonts w:ascii="仿宋_GB2312" w:hAnsi="微软雅黑" w:cs="仿宋_GB2312"/>
          <w:kern w:val="0"/>
          <w:szCs w:val="32"/>
          <w:shd w:val="clear" w:color="auto" w:fill="FFFFFF"/>
          <w:lang w:bidi="ar"/>
        </w:rPr>
      </w:pPr>
    </w:p>
    <w:p w14:paraId="3DDE9FD9">
      <w:pPr>
        <w:widowControl/>
        <w:shd w:val="clear" w:color="auto" w:fill="FFFFFF"/>
        <w:spacing w:line="560" w:lineRule="exact"/>
        <w:jc w:val="left"/>
        <w:rPr>
          <w:rFonts w:ascii="仿宋_GB2312" w:hAnsi="微软雅黑" w:cs="仿宋_GB2312"/>
          <w:kern w:val="0"/>
          <w:szCs w:val="32"/>
          <w:shd w:val="clear" w:color="auto" w:fill="FFFFFF"/>
          <w:lang w:bidi="ar"/>
        </w:rPr>
      </w:pPr>
    </w:p>
    <w:p w14:paraId="20A71C0E">
      <w:pPr>
        <w:widowControl/>
        <w:shd w:val="clear" w:color="auto" w:fill="FFFFFF"/>
        <w:spacing w:line="560" w:lineRule="exact"/>
        <w:jc w:val="left"/>
        <w:rPr>
          <w:rFonts w:ascii="仿宋_GB2312" w:hAnsi="微软雅黑" w:cs="仿宋_GB2312"/>
          <w:kern w:val="0"/>
          <w:szCs w:val="32"/>
          <w:shd w:val="clear" w:color="auto" w:fill="FFFFFF"/>
          <w:lang w:bidi="ar"/>
        </w:rPr>
      </w:pPr>
    </w:p>
    <w:p w14:paraId="6BD37657">
      <w:pPr>
        <w:pStyle w:val="2"/>
      </w:pPr>
    </w:p>
    <w:p w14:paraId="45EBFEDB">
      <w:pPr>
        <w:widowControl/>
        <w:shd w:val="clear" w:color="auto" w:fill="FFFFFF"/>
        <w:spacing w:line="560" w:lineRule="exact"/>
        <w:jc w:val="left"/>
        <w:rPr>
          <w:rFonts w:ascii="仿宋_GB2312" w:hAnsi="微软雅黑" w:cs="仿宋_GB2312"/>
          <w:kern w:val="0"/>
          <w:szCs w:val="32"/>
          <w:shd w:val="clear" w:color="auto" w:fill="FFFFFF"/>
          <w:lang w:bidi="ar"/>
        </w:rPr>
      </w:pPr>
    </w:p>
    <w:p w14:paraId="099CF320">
      <w:pPr>
        <w:pBdr>
          <w:top w:val="single" w:color="auto" w:sz="4" w:space="0"/>
          <w:bottom w:val="single" w:color="auto" w:sz="4" w:space="0"/>
        </w:pBdr>
        <w:spacing w:line="560" w:lineRule="exact"/>
        <w:ind w:firstLine="320" w:firstLineChars="100"/>
        <w:rPr>
          <w:rFonts w:ascii="仿宋_GB2312" w:hAnsi="宋体" w:cs="宋体"/>
          <w:kern w:val="0"/>
          <w:szCs w:val="32"/>
        </w:rPr>
      </w:pPr>
      <w:r>
        <w:rPr>
          <w:rFonts w:hint="eastAsia" w:ascii="仿宋_GB2312" w:hAnsi="宋体" w:cs="宋体"/>
          <w:kern w:val="0"/>
          <w:szCs w:val="32"/>
        </w:rPr>
        <w:t xml:space="preserve">安徽建筑大学               </w:t>
      </w:r>
      <w:bookmarkStart w:id="4" w:name="PO_FORMATION_DATE"/>
      <w:r>
        <w:rPr>
          <w:rFonts w:hint="eastAsia" w:ascii="仿宋_GB2312" w:hAnsi="宋体" w:cs="宋体"/>
          <w:kern w:val="0"/>
          <w:szCs w:val="32"/>
          <w:lang w:eastAsia="zh-CN"/>
        </w:rPr>
        <w:t>2025年4月27日</w:t>
      </w:r>
      <w:bookmarkEnd w:id="4"/>
      <w:r>
        <w:rPr>
          <w:rFonts w:hint="eastAsia" w:ascii="仿宋_GB2312" w:hAnsi="宋体" w:cs="宋体"/>
          <w:kern w:val="0"/>
          <w:szCs w:val="32"/>
        </w:rPr>
        <w:t>印发</w:t>
      </w:r>
    </w:p>
    <w:p w14:paraId="41B3E772">
      <w:pPr>
        <w:pBdr>
          <w:bottom w:val="single" w:color="auto" w:sz="4" w:space="0"/>
        </w:pBdr>
        <w:spacing w:line="560" w:lineRule="exact"/>
        <w:ind w:firstLine="320" w:firstLineChars="100"/>
      </w:pPr>
      <w:r>
        <w:rPr>
          <w:rFonts w:hint="eastAsia" w:ascii="仿宋_GB2312" w:hAnsi="宋体" w:cs="宋体"/>
          <w:kern w:val="0"/>
          <w:szCs w:val="32"/>
        </w:rPr>
        <w:t>打印：</w:t>
      </w:r>
      <w:bookmarkStart w:id="5" w:name="PO_YL02"/>
      <w:r>
        <w:rPr>
          <w:rFonts w:hint="eastAsia" w:ascii="仿宋_GB2312" w:hAnsi="宋体" w:cs="宋体"/>
          <w:kern w:val="0"/>
          <w:szCs w:val="32"/>
          <w:lang w:eastAsia="zh-CN"/>
        </w:rPr>
        <w:t>吴娟</w:t>
      </w:r>
      <w:bookmarkEnd w:id="5"/>
      <w:r>
        <w:rPr>
          <w:rFonts w:hint="eastAsia" w:ascii="仿宋_GB2312" w:hAnsi="宋体" w:cs="宋体"/>
          <w:kern w:val="0"/>
          <w:szCs w:val="32"/>
        </w:rPr>
        <w:t xml:space="preserve">        校对：</w:t>
      </w:r>
      <w:bookmarkStart w:id="6" w:name="PO_CHECK_NAME"/>
      <w:r>
        <w:rPr>
          <w:rFonts w:hint="eastAsia" w:ascii="仿宋_GB2312" w:hAnsi="宋体" w:cs="宋体"/>
          <w:kern w:val="0"/>
          <w:szCs w:val="32"/>
          <w:lang w:eastAsia="zh-CN"/>
        </w:rPr>
        <w:t>李梅</w:t>
      </w:r>
      <w:bookmarkEnd w:id="6"/>
      <w:r>
        <w:rPr>
          <w:rFonts w:hint="eastAsia" w:ascii="仿宋_GB2312" w:hAnsi="宋体" w:cs="宋体"/>
          <w:kern w:val="0"/>
          <w:szCs w:val="32"/>
        </w:rPr>
        <w:t xml:space="preserve">         </w:t>
      </w:r>
      <w:r>
        <w:rPr>
          <w:rFonts w:hint="eastAsia" w:ascii="仿宋_GB2312" w:hAnsi="宋体" w:cs="宋体"/>
          <w:kern w:val="0"/>
          <w:szCs w:val="32"/>
          <w:lang w:val="en-US" w:eastAsia="zh-CN"/>
        </w:rPr>
        <w:t xml:space="preserve"> </w:t>
      </w:r>
      <w:r>
        <w:rPr>
          <w:rFonts w:hint="eastAsia" w:ascii="仿宋_GB2312" w:hAnsi="宋体" w:cs="宋体"/>
          <w:kern w:val="0"/>
          <w:szCs w:val="32"/>
        </w:rPr>
        <w:t xml:space="preserve">共印 </w:t>
      </w:r>
      <w:bookmarkStart w:id="7" w:name="PO_YL01"/>
      <w:r>
        <w:rPr>
          <w:rFonts w:hint="eastAsia" w:ascii="仿宋_GB2312" w:hAnsi="宋体" w:cs="宋体"/>
          <w:kern w:val="0"/>
          <w:szCs w:val="32"/>
          <w:lang w:eastAsia="zh-CN"/>
        </w:rPr>
        <w:t>6</w:t>
      </w:r>
      <w:bookmarkEnd w:id="7"/>
      <w:r>
        <w:rPr>
          <w:rFonts w:hint="eastAsia" w:ascii="仿宋_GB2312" w:hAnsi="宋体" w:cs="宋体"/>
          <w:kern w:val="0"/>
          <w:szCs w:val="32"/>
        </w:rPr>
        <w:t>份</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D5567">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426254">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4426254">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993"/>
    <w:rsid w:val="00002188"/>
    <w:rsid w:val="000114FF"/>
    <w:rsid w:val="0003072F"/>
    <w:rsid w:val="00056974"/>
    <w:rsid w:val="00060E85"/>
    <w:rsid w:val="00067CF9"/>
    <w:rsid w:val="00076F72"/>
    <w:rsid w:val="00093D54"/>
    <w:rsid w:val="000C044C"/>
    <w:rsid w:val="000D11F9"/>
    <w:rsid w:val="000D2780"/>
    <w:rsid w:val="000D352A"/>
    <w:rsid w:val="000D3D48"/>
    <w:rsid w:val="000D6AB5"/>
    <w:rsid w:val="000E5F14"/>
    <w:rsid w:val="0011677E"/>
    <w:rsid w:val="00127D20"/>
    <w:rsid w:val="0015405C"/>
    <w:rsid w:val="001638E9"/>
    <w:rsid w:val="0016654D"/>
    <w:rsid w:val="00173302"/>
    <w:rsid w:val="0018073B"/>
    <w:rsid w:val="001B60E5"/>
    <w:rsid w:val="001C22E5"/>
    <w:rsid w:val="001D124F"/>
    <w:rsid w:val="001E44DA"/>
    <w:rsid w:val="001E4D0B"/>
    <w:rsid w:val="001E7A95"/>
    <w:rsid w:val="002043FF"/>
    <w:rsid w:val="00210E34"/>
    <w:rsid w:val="00211C6C"/>
    <w:rsid w:val="002128FB"/>
    <w:rsid w:val="00224785"/>
    <w:rsid w:val="00245FCD"/>
    <w:rsid w:val="00253D7F"/>
    <w:rsid w:val="00255E87"/>
    <w:rsid w:val="00264DAC"/>
    <w:rsid w:val="00266691"/>
    <w:rsid w:val="002765D7"/>
    <w:rsid w:val="00295A01"/>
    <w:rsid w:val="002A41D0"/>
    <w:rsid w:val="002B109A"/>
    <w:rsid w:val="002B1557"/>
    <w:rsid w:val="002B43B5"/>
    <w:rsid w:val="002D6E82"/>
    <w:rsid w:val="002F6438"/>
    <w:rsid w:val="00304A6D"/>
    <w:rsid w:val="00323442"/>
    <w:rsid w:val="00332944"/>
    <w:rsid w:val="003545AD"/>
    <w:rsid w:val="00355C98"/>
    <w:rsid w:val="003606E3"/>
    <w:rsid w:val="00374EDC"/>
    <w:rsid w:val="00384BA5"/>
    <w:rsid w:val="003912CF"/>
    <w:rsid w:val="003A58ED"/>
    <w:rsid w:val="003A6E80"/>
    <w:rsid w:val="003B20B0"/>
    <w:rsid w:val="003B6FF1"/>
    <w:rsid w:val="003C70C6"/>
    <w:rsid w:val="003D4F02"/>
    <w:rsid w:val="003E18ED"/>
    <w:rsid w:val="003F3DD0"/>
    <w:rsid w:val="00405734"/>
    <w:rsid w:val="004345C2"/>
    <w:rsid w:val="004601AE"/>
    <w:rsid w:val="004625B3"/>
    <w:rsid w:val="00473C33"/>
    <w:rsid w:val="00475AAF"/>
    <w:rsid w:val="004774CA"/>
    <w:rsid w:val="00490010"/>
    <w:rsid w:val="00497FE9"/>
    <w:rsid w:val="004C1880"/>
    <w:rsid w:val="004D04AD"/>
    <w:rsid w:val="004D482A"/>
    <w:rsid w:val="004D5BFF"/>
    <w:rsid w:val="004D786C"/>
    <w:rsid w:val="004E0773"/>
    <w:rsid w:val="004E4524"/>
    <w:rsid w:val="004E6D90"/>
    <w:rsid w:val="005067CA"/>
    <w:rsid w:val="00511465"/>
    <w:rsid w:val="005259B5"/>
    <w:rsid w:val="00531072"/>
    <w:rsid w:val="00535F96"/>
    <w:rsid w:val="005503FC"/>
    <w:rsid w:val="0057215B"/>
    <w:rsid w:val="00596CE7"/>
    <w:rsid w:val="005A0EBA"/>
    <w:rsid w:val="005A6A9E"/>
    <w:rsid w:val="005B15DC"/>
    <w:rsid w:val="005C4A8E"/>
    <w:rsid w:val="005C71E8"/>
    <w:rsid w:val="005D31D8"/>
    <w:rsid w:val="005E157C"/>
    <w:rsid w:val="00602C12"/>
    <w:rsid w:val="006411C4"/>
    <w:rsid w:val="0064649A"/>
    <w:rsid w:val="00652C20"/>
    <w:rsid w:val="00654404"/>
    <w:rsid w:val="006602EF"/>
    <w:rsid w:val="006637E4"/>
    <w:rsid w:val="006A688E"/>
    <w:rsid w:val="006B2767"/>
    <w:rsid w:val="006B29B1"/>
    <w:rsid w:val="006C1A76"/>
    <w:rsid w:val="006C1B03"/>
    <w:rsid w:val="006F2F14"/>
    <w:rsid w:val="006F684D"/>
    <w:rsid w:val="00705146"/>
    <w:rsid w:val="00716F6F"/>
    <w:rsid w:val="007270A6"/>
    <w:rsid w:val="00731FCE"/>
    <w:rsid w:val="00734A31"/>
    <w:rsid w:val="0074167C"/>
    <w:rsid w:val="00743051"/>
    <w:rsid w:val="00750EA1"/>
    <w:rsid w:val="00755C16"/>
    <w:rsid w:val="00767256"/>
    <w:rsid w:val="00770995"/>
    <w:rsid w:val="007A617A"/>
    <w:rsid w:val="007A6637"/>
    <w:rsid w:val="007A7C62"/>
    <w:rsid w:val="007B18E7"/>
    <w:rsid w:val="007B44A2"/>
    <w:rsid w:val="007B63D8"/>
    <w:rsid w:val="007C2928"/>
    <w:rsid w:val="007D30E3"/>
    <w:rsid w:val="007E00B2"/>
    <w:rsid w:val="008057E2"/>
    <w:rsid w:val="0082658F"/>
    <w:rsid w:val="00830DB6"/>
    <w:rsid w:val="00841A89"/>
    <w:rsid w:val="00850DA4"/>
    <w:rsid w:val="00851043"/>
    <w:rsid w:val="00856C0E"/>
    <w:rsid w:val="00860485"/>
    <w:rsid w:val="00866DFB"/>
    <w:rsid w:val="008675FB"/>
    <w:rsid w:val="008A3811"/>
    <w:rsid w:val="008A676D"/>
    <w:rsid w:val="008C4738"/>
    <w:rsid w:val="008E20F8"/>
    <w:rsid w:val="00904598"/>
    <w:rsid w:val="00962726"/>
    <w:rsid w:val="0099104B"/>
    <w:rsid w:val="009936F7"/>
    <w:rsid w:val="00994B43"/>
    <w:rsid w:val="009A4544"/>
    <w:rsid w:val="009B6C5F"/>
    <w:rsid w:val="009D3697"/>
    <w:rsid w:val="009D76BE"/>
    <w:rsid w:val="009E5347"/>
    <w:rsid w:val="009E7533"/>
    <w:rsid w:val="009E7905"/>
    <w:rsid w:val="00A06A32"/>
    <w:rsid w:val="00A13ADA"/>
    <w:rsid w:val="00A15DC7"/>
    <w:rsid w:val="00A23742"/>
    <w:rsid w:val="00A3744C"/>
    <w:rsid w:val="00A52D6F"/>
    <w:rsid w:val="00A62E63"/>
    <w:rsid w:val="00A71A37"/>
    <w:rsid w:val="00AA7619"/>
    <w:rsid w:val="00AB3A19"/>
    <w:rsid w:val="00AB4646"/>
    <w:rsid w:val="00AB7E08"/>
    <w:rsid w:val="00AC1AC2"/>
    <w:rsid w:val="00AD2F96"/>
    <w:rsid w:val="00AE11BB"/>
    <w:rsid w:val="00AF4DAD"/>
    <w:rsid w:val="00B05091"/>
    <w:rsid w:val="00B11060"/>
    <w:rsid w:val="00B233D9"/>
    <w:rsid w:val="00B46335"/>
    <w:rsid w:val="00B51CC3"/>
    <w:rsid w:val="00B70EF9"/>
    <w:rsid w:val="00B80F7D"/>
    <w:rsid w:val="00B810FF"/>
    <w:rsid w:val="00B850AF"/>
    <w:rsid w:val="00B93770"/>
    <w:rsid w:val="00BA0880"/>
    <w:rsid w:val="00BC1099"/>
    <w:rsid w:val="00BD10FE"/>
    <w:rsid w:val="00BD29F1"/>
    <w:rsid w:val="00BE3F84"/>
    <w:rsid w:val="00BF0E8D"/>
    <w:rsid w:val="00C018FA"/>
    <w:rsid w:val="00C03E23"/>
    <w:rsid w:val="00C07B12"/>
    <w:rsid w:val="00C13879"/>
    <w:rsid w:val="00C258D0"/>
    <w:rsid w:val="00C2671F"/>
    <w:rsid w:val="00C31417"/>
    <w:rsid w:val="00C379DD"/>
    <w:rsid w:val="00C43128"/>
    <w:rsid w:val="00C61C52"/>
    <w:rsid w:val="00C630FE"/>
    <w:rsid w:val="00C642FD"/>
    <w:rsid w:val="00C87FE7"/>
    <w:rsid w:val="00CB4CC0"/>
    <w:rsid w:val="00CB5D01"/>
    <w:rsid w:val="00CD1FEB"/>
    <w:rsid w:val="00CD59A5"/>
    <w:rsid w:val="00CD787D"/>
    <w:rsid w:val="00CE5546"/>
    <w:rsid w:val="00CE7EC3"/>
    <w:rsid w:val="00D050B6"/>
    <w:rsid w:val="00D06142"/>
    <w:rsid w:val="00D07DA6"/>
    <w:rsid w:val="00D11AB8"/>
    <w:rsid w:val="00D46458"/>
    <w:rsid w:val="00D678AD"/>
    <w:rsid w:val="00D7732A"/>
    <w:rsid w:val="00D921F0"/>
    <w:rsid w:val="00D92738"/>
    <w:rsid w:val="00DB1D3F"/>
    <w:rsid w:val="00DB5BE7"/>
    <w:rsid w:val="00DC1FA0"/>
    <w:rsid w:val="00DC7181"/>
    <w:rsid w:val="00DD4BD6"/>
    <w:rsid w:val="00DE6CC2"/>
    <w:rsid w:val="00DF0258"/>
    <w:rsid w:val="00DF1101"/>
    <w:rsid w:val="00E200FE"/>
    <w:rsid w:val="00E22DB4"/>
    <w:rsid w:val="00E244D7"/>
    <w:rsid w:val="00E30495"/>
    <w:rsid w:val="00E32291"/>
    <w:rsid w:val="00E357E3"/>
    <w:rsid w:val="00E4453D"/>
    <w:rsid w:val="00E47993"/>
    <w:rsid w:val="00E61D13"/>
    <w:rsid w:val="00E62B0B"/>
    <w:rsid w:val="00E74A66"/>
    <w:rsid w:val="00E837B9"/>
    <w:rsid w:val="00E94EF3"/>
    <w:rsid w:val="00EA7E73"/>
    <w:rsid w:val="00EB210E"/>
    <w:rsid w:val="00EB35DE"/>
    <w:rsid w:val="00EB6EE3"/>
    <w:rsid w:val="00EB702F"/>
    <w:rsid w:val="00EC01C7"/>
    <w:rsid w:val="00EC6628"/>
    <w:rsid w:val="00EC6DE7"/>
    <w:rsid w:val="00EF3882"/>
    <w:rsid w:val="00EF451F"/>
    <w:rsid w:val="00F04ACC"/>
    <w:rsid w:val="00F0740D"/>
    <w:rsid w:val="00F304DD"/>
    <w:rsid w:val="00F644E8"/>
    <w:rsid w:val="00F732E5"/>
    <w:rsid w:val="00F97333"/>
    <w:rsid w:val="00FB66D7"/>
    <w:rsid w:val="00FD4849"/>
    <w:rsid w:val="00FF0BA5"/>
    <w:rsid w:val="00FF2694"/>
    <w:rsid w:val="00FF4518"/>
    <w:rsid w:val="00FF4DF2"/>
    <w:rsid w:val="00FF609A"/>
    <w:rsid w:val="00FF6BCF"/>
    <w:rsid w:val="00FF7C63"/>
    <w:rsid w:val="04E44207"/>
    <w:rsid w:val="088E6450"/>
    <w:rsid w:val="1FC55C88"/>
    <w:rsid w:val="22BA6E81"/>
    <w:rsid w:val="2A944B22"/>
    <w:rsid w:val="2C495E2A"/>
    <w:rsid w:val="337C4CD9"/>
    <w:rsid w:val="45DA218E"/>
    <w:rsid w:val="49872FEE"/>
    <w:rsid w:val="5C0B7D53"/>
    <w:rsid w:val="5EE66196"/>
    <w:rsid w:val="64114A8E"/>
    <w:rsid w:val="7B3F7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2"/>
      <w:lang w:val="en-US" w:eastAsia="zh-CN" w:bidi="ar-SA"/>
    </w:rPr>
  </w:style>
  <w:style w:type="paragraph" w:styleId="3">
    <w:name w:val="heading 1"/>
    <w:basedOn w:val="1"/>
    <w:next w:val="1"/>
    <w:qFormat/>
    <w:uiPriority w:val="0"/>
    <w:pPr>
      <w:keepNext/>
      <w:keepLines/>
      <w:spacing w:before="120" w:after="120"/>
      <w:outlineLvl w:val="0"/>
    </w:pPr>
    <w:rPr>
      <w:rFonts w:ascii="Times New Roman" w:hAnsi="Times New Roman" w:eastAsia="黑体"/>
      <w:kern w:val="36"/>
      <w:sz w:val="36"/>
      <w:szCs w:val="20"/>
    </w:rPr>
  </w:style>
  <w:style w:type="paragraph" w:styleId="4">
    <w:name w:val="heading 2"/>
    <w:basedOn w:val="1"/>
    <w:next w:val="5"/>
    <w:qFormat/>
    <w:uiPriority w:val="0"/>
    <w:pPr>
      <w:adjustRightInd w:val="0"/>
      <w:spacing w:before="60" w:after="60"/>
      <w:outlineLvl w:val="1"/>
    </w:pPr>
    <w:rPr>
      <w:rFonts w:ascii="Arial" w:hAnsi="Arial" w:eastAsia="黑体"/>
      <w:szCs w:val="20"/>
    </w:rPr>
  </w:style>
  <w:style w:type="paragraph" w:styleId="6">
    <w:name w:val="heading 3"/>
    <w:basedOn w:val="1"/>
    <w:next w:val="5"/>
    <w:qFormat/>
    <w:uiPriority w:val="0"/>
    <w:pPr>
      <w:adjustRightInd w:val="0"/>
      <w:spacing w:before="60" w:after="60"/>
      <w:outlineLvl w:val="2"/>
    </w:pPr>
    <w:rPr>
      <w:rFonts w:ascii="Times New Roman" w:hAnsi="Times New Roman"/>
      <w:b/>
      <w:szCs w:val="20"/>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Title"/>
    <w:basedOn w:val="1"/>
    <w:next w:val="1"/>
    <w:link w:val="16"/>
    <w:qFormat/>
    <w:uiPriority w:val="0"/>
    <w:pPr>
      <w:spacing w:before="240" w:after="60"/>
      <w:jc w:val="center"/>
      <w:outlineLvl w:val="0"/>
    </w:pPr>
    <w:rPr>
      <w:rFonts w:ascii="Cambria" w:hAnsi="Cambria" w:eastAsia="宋体"/>
      <w:b/>
      <w:bCs/>
      <w:szCs w:val="32"/>
    </w:rPr>
  </w:style>
  <w:style w:type="paragraph" w:styleId="5">
    <w:name w:val="Normal Indent"/>
    <w:basedOn w:val="1"/>
    <w:qFormat/>
    <w:uiPriority w:val="0"/>
    <w:pPr>
      <w:ind w:firstLine="420"/>
    </w:pPr>
    <w:rPr>
      <w:rFonts w:ascii="Times New Roman" w:hAnsi="Times New Roman"/>
      <w:szCs w:val="20"/>
    </w:rPr>
  </w:style>
  <w:style w:type="paragraph" w:styleId="7">
    <w:name w:val="Document Map"/>
    <w:basedOn w:val="1"/>
    <w:semiHidden/>
    <w:qFormat/>
    <w:uiPriority w:val="0"/>
    <w:pPr>
      <w:shd w:val="clear" w:color="auto" w:fill="000080"/>
    </w:pPr>
    <w:rPr>
      <w:rFonts w:ascii="Times New Roman" w:hAnsi="Times New Roman"/>
      <w:szCs w:val="20"/>
    </w:rPr>
  </w:style>
  <w:style w:type="paragraph" w:styleId="8">
    <w:name w:val="Body Text"/>
    <w:basedOn w:val="1"/>
    <w:qFormat/>
    <w:uiPriority w:val="0"/>
    <w:pPr>
      <w:jc w:val="center"/>
    </w:pPr>
    <w:rPr>
      <w:rFonts w:ascii="方正舒体" w:hAnsi="Times New Roman"/>
      <w:b/>
      <w:color w:val="FF0000"/>
      <w:spacing w:val="80"/>
      <w:sz w:val="96"/>
      <w:szCs w:val="20"/>
    </w:rPr>
  </w:style>
  <w:style w:type="paragraph" w:styleId="9">
    <w:name w:val="Balloon Text"/>
    <w:basedOn w:val="1"/>
    <w:semiHidden/>
    <w:qFormat/>
    <w:uiPriority w:val="0"/>
    <w:rPr>
      <w:rFonts w:ascii="Times New Roman" w:hAnsi="Times New Roman"/>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tabs>
        <w:tab w:val="center" w:pos="4153"/>
        <w:tab w:val="right" w:pos="8306"/>
      </w:tabs>
      <w:snapToGrid w:val="0"/>
      <w:jc w:val="center"/>
    </w:pPr>
    <w:rPr>
      <w:rFonts w:ascii="Times New Roman" w:hAnsi="Times New Roman"/>
      <w:sz w:val="18"/>
      <w:szCs w:val="20"/>
    </w:rPr>
  </w:style>
  <w:style w:type="paragraph" w:styleId="12">
    <w:name w:val="Normal (Web)"/>
    <w:basedOn w:val="1"/>
    <w:qFormat/>
    <w:uiPriority w:val="0"/>
    <w:pPr>
      <w:spacing w:before="100" w:beforeAutospacing="1" w:after="100" w:afterAutospacing="1"/>
      <w:ind w:left="0" w:right="0"/>
      <w:jc w:val="left"/>
    </w:pPr>
    <w:rPr>
      <w:rFonts w:ascii="Times New Roman" w:hAnsi="Times New Roman"/>
      <w:kern w:val="0"/>
      <w:sz w:val="24"/>
      <w:szCs w:val="20"/>
      <w:lang w:val="en-US" w:eastAsia="zh-CN" w:bidi="ar"/>
    </w:rPr>
  </w:style>
  <w:style w:type="character" w:styleId="15">
    <w:name w:val="page number"/>
    <w:basedOn w:val="14"/>
    <w:qFormat/>
    <w:uiPriority w:val="0"/>
    <w:rPr>
      <w:rFonts w:ascii="Times New Roman" w:hAnsi="Times New Roman" w:eastAsia="宋体" w:cs="Times New Roman"/>
    </w:rPr>
  </w:style>
  <w:style w:type="character" w:customStyle="1" w:styleId="16">
    <w:name w:val="标题 Char"/>
    <w:link w:val="2"/>
    <w:qFormat/>
    <w:uiPriority w:val="0"/>
    <w:rPr>
      <w:rFonts w:ascii="Cambria" w:hAnsi="Cambria" w:eastAsia="宋体" w:cs="Times New Roman"/>
      <w:b/>
      <w:bCs/>
      <w:szCs w:val="32"/>
    </w:rPr>
  </w:style>
  <w:style w:type="paragraph" w:customStyle="1" w:styleId="17">
    <w:name w:val="reader-word-layer reader-word-s16-5"/>
    <w:basedOn w:val="1"/>
    <w:qFormat/>
    <w:uiPriority w:val="0"/>
    <w:pPr>
      <w:widowControl/>
      <w:spacing w:before="100" w:beforeAutospacing="1" w:after="100" w:afterAutospacing="1"/>
      <w:jc w:val="left"/>
    </w:pPr>
    <w:rPr>
      <w:rFonts w:ascii="宋体" w:hAnsi="宋体" w:cs="宋体"/>
      <w:kern w:val="0"/>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21335;&#24072;&#27169;&#26495;\dcwjmbwyh.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6460</Words>
  <Characters>6507</Characters>
  <Lines>1</Lines>
  <Paragraphs>1</Paragraphs>
  <TotalTime>25</TotalTime>
  <ScaleCrop>false</ScaleCrop>
  <LinksUpToDate>false</LinksUpToDate>
  <CharactersWithSpaces>6675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2021-12-14T09:16:00Z</dcterms:created>
  <dc:creator>浮城沉浮</dc:creator>
  <cp:lastModifiedBy>ztt</cp:lastModifiedBy>
  <dcterms:modified xsi:type="dcterms:W3CDTF">2025-09-15T07:14:16Z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4B28BB305CB5414C87548E0808CBC141</vt:lpwstr>
  </property>
  <property fmtid="{D5CDD505-2E9C-101B-9397-08002B2CF9AE}" pid="4" name="KSOTemplateDocerSaveRecord">
    <vt:lpwstr>eyJoZGlkIjoiYjdkYWMwZDNmMTQ3MzIzZDU2NmM4NzM4Y2U0MDE4NzUiLCJ1c2VySWQiOiIyNzQ3OTQxNzcifQ==</vt:lpwstr>
  </property>
</Properties>
</file>